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52634">
      <w:pPr>
        <w:tabs>
          <w:tab w:val="left" w:pos="315"/>
          <w:tab w:val="left" w:pos="8820"/>
        </w:tabs>
        <w:wordWrap w:val="0"/>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0" w:name="_Hlk9544796"/>
    </w:p>
    <w:p w14:paraId="51BFE824">
      <w:pPr>
        <w:tabs>
          <w:tab w:val="left" w:pos="315"/>
          <w:tab w:val="left" w:pos="8820"/>
        </w:tabs>
        <w:wordWrap w:val="0"/>
        <w:spacing w:before="156" w:beforeLines="50" w:after="156" w:afterLines="50"/>
        <w:ind w:right="265" w:rightChars="126"/>
        <w:jc w:val="center"/>
        <w:rPr>
          <w:rFonts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磋商文件</w:t>
      </w:r>
    </w:p>
    <w:p w14:paraId="2E4DF7D9">
      <w:pPr>
        <w:tabs>
          <w:tab w:val="left" w:pos="315"/>
          <w:tab w:val="left" w:pos="8820"/>
        </w:tabs>
        <w:wordWrap w:val="0"/>
        <w:spacing w:before="312" w:beforeLines="100" w:after="156" w:afterLines="50" w:line="500" w:lineRule="exact"/>
        <w:ind w:right="267" w:rightChars="127"/>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（采购服务类）</w:t>
      </w:r>
    </w:p>
    <w:p w14:paraId="0DE6CFAC">
      <w:pPr>
        <w:tabs>
          <w:tab w:val="left" w:pos="315"/>
          <w:tab w:val="left" w:pos="8820"/>
        </w:tabs>
        <w:wordWrap w:val="0"/>
        <w:spacing w:before="312" w:beforeLines="100" w:after="156" w:afterLines="50" w:line="500" w:lineRule="exact"/>
        <w:ind w:right="267" w:rightChars="127"/>
        <w:jc w:val="center"/>
        <w:rPr>
          <w:rFonts w:ascii="宋体" w:hAnsi="宋体" w:eastAsia="宋体"/>
          <w:b/>
          <w:bCs/>
          <w:color w:val="auto"/>
          <w:sz w:val="52"/>
          <w:szCs w:val="52"/>
          <w:highlight w:val="none"/>
        </w:rPr>
      </w:pPr>
    </w:p>
    <w:bookmarkEnd w:id="0"/>
    <w:p w14:paraId="4C2E6152">
      <w:pPr>
        <w:tabs>
          <w:tab w:val="left" w:pos="315"/>
          <w:tab w:val="left" w:pos="8820"/>
        </w:tabs>
        <w:wordWrap w:val="0"/>
        <w:spacing w:before="312" w:beforeLines="100" w:after="156" w:afterLines="50" w:line="360" w:lineRule="auto"/>
        <w:ind w:right="267" w:rightChars="127"/>
        <w:jc w:val="center"/>
        <w:rPr>
          <w:rFonts w:ascii="宋体" w:hAnsi="宋体" w:eastAsia="宋体"/>
          <w:b/>
          <w:bCs/>
          <w:color w:val="auto"/>
          <w:sz w:val="44"/>
          <w:szCs w:val="44"/>
          <w:highlight w:val="none"/>
        </w:rPr>
      </w:pPr>
      <w:r>
        <w:rPr>
          <w:rFonts w:ascii="Arial" w:hAnsi="Arial" w:eastAsia="宋体" w:cs="Arial"/>
          <w:b/>
          <w:bCs/>
          <w:color w:val="auto"/>
          <w:sz w:val="96"/>
          <w:highlight w:val="none"/>
        </w:rPr>
        <w:drawing>
          <wp:inline distT="0" distB="0" distL="114300" distR="114300">
            <wp:extent cx="1785620" cy="2586990"/>
            <wp:effectExtent l="0" t="0" r="5080" b="3810"/>
            <wp:docPr id="1" name="图片 1" descr="Z:\3.质量管理部\王纲群\鼎信招采事业部\办公常用\鼎信数智LOGO\logo4.png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3.质量管理部\王纲群\鼎信招采事业部\办公常用\鼎信数智LOGO\logo4.pnglogo4"/>
                    <pic:cNvPicPr>
                      <a:picLocks noChangeAspect="1"/>
                    </pic:cNvPicPr>
                  </pic:nvPicPr>
                  <pic:blipFill>
                    <a:blip r:embed="rId9"/>
                    <a:stretch>
                      <a:fillRect/>
                    </a:stretch>
                  </pic:blipFill>
                  <pic:spPr>
                    <a:xfrm>
                      <a:off x="0" y="0"/>
                      <a:ext cx="1785620" cy="2586990"/>
                    </a:xfrm>
                    <a:prstGeom prst="rect">
                      <a:avLst/>
                    </a:prstGeom>
                    <a:noFill/>
                    <a:ln>
                      <a:noFill/>
                    </a:ln>
                  </pic:spPr>
                </pic:pic>
              </a:graphicData>
            </a:graphic>
          </wp:inline>
        </w:drawing>
      </w:r>
    </w:p>
    <w:p w14:paraId="7DD96F0D">
      <w:pPr>
        <w:tabs>
          <w:tab w:val="left" w:pos="315"/>
          <w:tab w:val="left" w:pos="8820"/>
        </w:tabs>
        <w:wordWrap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4CB0B7">
      <w:pPr>
        <w:tabs>
          <w:tab w:val="left" w:pos="2410"/>
        </w:tabs>
        <w:wordWrap w:val="0"/>
        <w:autoSpaceDE w:val="0"/>
        <w:autoSpaceDN w:val="0"/>
        <w:adjustRightInd w:val="0"/>
        <w:snapToGrid w:val="0"/>
        <w:spacing w:line="360" w:lineRule="auto"/>
        <w:ind w:firstLine="642" w:firstLineChars="200"/>
        <w:rPr>
          <w:rFonts w:hint="eastAsia" w:ascii="仿宋" w:hAnsi="仿宋" w:eastAsia="仿宋" w:cs="仿宋"/>
          <w:b/>
          <w:color w:val="auto"/>
          <w:spacing w:val="20"/>
          <w:kern w:val="0"/>
          <w:sz w:val="28"/>
          <w:szCs w:val="28"/>
          <w:highlight w:val="none"/>
          <w:lang w:eastAsia="zh-CN"/>
        </w:rPr>
      </w:pPr>
      <w:r>
        <w:rPr>
          <w:rFonts w:hint="eastAsia" w:ascii="仿宋" w:hAnsi="仿宋" w:eastAsia="仿宋" w:cs="仿宋"/>
          <w:b/>
          <w:color w:val="auto"/>
          <w:spacing w:val="20"/>
          <w:kern w:val="0"/>
          <w:sz w:val="28"/>
          <w:szCs w:val="28"/>
          <w:highlight w:val="none"/>
        </w:rPr>
        <w:t>项目名称：</w:t>
      </w:r>
      <w:r>
        <w:rPr>
          <w:rFonts w:hint="eastAsia" w:ascii="仿宋" w:hAnsi="仿宋" w:eastAsia="仿宋" w:cs="仿宋"/>
          <w:b/>
          <w:color w:val="auto"/>
          <w:spacing w:val="20"/>
          <w:kern w:val="0"/>
          <w:sz w:val="28"/>
          <w:szCs w:val="28"/>
          <w:highlight w:val="none"/>
          <w:lang w:eastAsia="zh-CN"/>
        </w:rPr>
        <w:t>猎头服务机构遴选</w:t>
      </w:r>
    </w:p>
    <w:p w14:paraId="31A8734C">
      <w:pPr>
        <w:tabs>
          <w:tab w:val="left" w:pos="2410"/>
        </w:tabs>
        <w:wordWrap w:val="0"/>
        <w:autoSpaceDE w:val="0"/>
        <w:autoSpaceDN w:val="0"/>
        <w:adjustRightInd w:val="0"/>
        <w:snapToGrid w:val="0"/>
        <w:spacing w:line="360" w:lineRule="auto"/>
        <w:ind w:firstLine="642" w:firstLineChars="200"/>
        <w:rPr>
          <w:rFonts w:hint="eastAsia" w:ascii="仿宋" w:hAnsi="仿宋" w:eastAsia="仿宋" w:cs="仿宋"/>
          <w:b/>
          <w:color w:val="auto"/>
          <w:spacing w:val="20"/>
          <w:kern w:val="0"/>
          <w:sz w:val="28"/>
          <w:szCs w:val="28"/>
          <w:highlight w:val="none"/>
          <w:lang w:eastAsia="zh-CN"/>
        </w:rPr>
      </w:pPr>
      <w:r>
        <w:rPr>
          <w:rFonts w:hint="eastAsia" w:ascii="仿宋" w:hAnsi="仿宋" w:eastAsia="仿宋" w:cs="仿宋"/>
          <w:b/>
          <w:color w:val="auto"/>
          <w:spacing w:val="20"/>
          <w:kern w:val="0"/>
          <w:sz w:val="28"/>
          <w:szCs w:val="28"/>
          <w:highlight w:val="none"/>
        </w:rPr>
        <w:t>项目编号：</w:t>
      </w:r>
      <w:r>
        <w:rPr>
          <w:rFonts w:ascii="Segoe UI" w:hAnsi="Segoe UI" w:eastAsia="Segoe UI" w:cs="Segoe UI"/>
          <w:i w:val="0"/>
          <w:iCs w:val="0"/>
          <w:caps w:val="0"/>
          <w:color w:val="auto"/>
          <w:spacing w:val="0"/>
          <w:sz w:val="21"/>
          <w:szCs w:val="21"/>
          <w:highlight w:val="none"/>
          <w:shd w:val="clear" w:fill="ECF5FF"/>
        </w:rPr>
        <w:t>ZB202606094</w:t>
      </w:r>
    </w:p>
    <w:p w14:paraId="57B7EFD1">
      <w:pPr>
        <w:tabs>
          <w:tab w:val="left" w:pos="2410"/>
        </w:tabs>
        <w:wordWrap w:val="0"/>
        <w:autoSpaceDE w:val="0"/>
        <w:autoSpaceDN w:val="0"/>
        <w:adjustRightInd w:val="0"/>
        <w:snapToGrid w:val="0"/>
        <w:spacing w:line="360" w:lineRule="auto"/>
        <w:ind w:firstLine="642" w:firstLineChars="200"/>
        <w:rPr>
          <w:rFonts w:ascii="仿宋" w:hAnsi="仿宋" w:eastAsia="仿宋" w:cs="仿宋"/>
          <w:b/>
          <w:color w:val="auto"/>
          <w:spacing w:val="20"/>
          <w:kern w:val="0"/>
          <w:sz w:val="28"/>
          <w:szCs w:val="28"/>
          <w:highlight w:val="none"/>
        </w:rPr>
      </w:pPr>
      <w:r>
        <w:rPr>
          <w:rFonts w:hint="eastAsia" w:ascii="仿宋" w:hAnsi="仿宋" w:eastAsia="仿宋" w:cs="仿宋"/>
          <w:b/>
          <w:color w:val="auto"/>
          <w:spacing w:val="20"/>
          <w:kern w:val="0"/>
          <w:sz w:val="28"/>
          <w:szCs w:val="28"/>
          <w:highlight w:val="none"/>
        </w:rPr>
        <w:t>采 购 人：合肥综合性国家科学中心大健康研究院</w:t>
      </w:r>
    </w:p>
    <w:p w14:paraId="3B336DB4">
      <w:pPr>
        <w:tabs>
          <w:tab w:val="left" w:pos="2410"/>
        </w:tabs>
        <w:wordWrap w:val="0"/>
        <w:autoSpaceDE w:val="0"/>
        <w:autoSpaceDN w:val="0"/>
        <w:adjustRightInd w:val="0"/>
        <w:snapToGrid w:val="0"/>
        <w:spacing w:line="360" w:lineRule="auto"/>
        <w:ind w:firstLine="642" w:firstLineChars="200"/>
        <w:rPr>
          <w:rFonts w:ascii="仿宋" w:hAnsi="仿宋" w:eastAsia="仿宋" w:cs="仿宋"/>
          <w:b/>
          <w:color w:val="auto"/>
          <w:spacing w:val="20"/>
          <w:kern w:val="0"/>
          <w:sz w:val="28"/>
          <w:szCs w:val="28"/>
          <w:highlight w:val="none"/>
        </w:rPr>
      </w:pPr>
      <w:r>
        <w:rPr>
          <w:rFonts w:hint="eastAsia" w:ascii="仿宋" w:hAnsi="仿宋" w:eastAsia="仿宋" w:cs="仿宋"/>
          <w:b/>
          <w:color w:val="auto"/>
          <w:spacing w:val="20"/>
          <w:kern w:val="0"/>
          <w:sz w:val="28"/>
          <w:szCs w:val="28"/>
          <w:highlight w:val="none"/>
        </w:rPr>
        <w:t>采购代理机构：鼎信数智技术集团股份有限公司</w:t>
      </w:r>
    </w:p>
    <w:p w14:paraId="2A1D2631">
      <w:pPr>
        <w:wordWrap w:val="0"/>
        <w:spacing w:line="360" w:lineRule="auto"/>
        <w:jc w:val="center"/>
        <w:outlineLvl w:val="1"/>
        <w:rPr>
          <w:rFonts w:ascii="宋体" w:hAnsi="宋体" w:eastAsia="宋体"/>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r>
        <w:rPr>
          <w:rFonts w:hint="eastAsia" w:ascii="仿宋" w:hAnsi="仿宋" w:eastAsia="仿宋" w:cs="仿宋"/>
          <w:b/>
          <w:color w:val="auto"/>
          <w:sz w:val="28"/>
          <w:szCs w:val="28"/>
          <w:highlight w:val="none"/>
        </w:rPr>
        <w:t xml:space="preserve">  2026 年 </w:t>
      </w: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 xml:space="preserve"> 月</w:t>
      </w:r>
    </w:p>
    <w:p w14:paraId="6E87FD2C">
      <w:pPr>
        <w:tabs>
          <w:tab w:val="left" w:pos="2410"/>
        </w:tabs>
        <w:wordWrap w:val="0"/>
        <w:autoSpaceDE w:val="0"/>
        <w:autoSpaceDN w:val="0"/>
        <w:adjustRightInd w:val="0"/>
        <w:snapToGrid w:val="0"/>
        <w:spacing w:line="360" w:lineRule="auto"/>
        <w:jc w:val="center"/>
        <w:rPr>
          <w:rFonts w:ascii="宋体" w:hAnsi="宋体" w:eastAsia="宋体"/>
          <w:b/>
          <w:color w:val="auto"/>
          <w:sz w:val="40"/>
          <w:szCs w:val="40"/>
          <w:highlight w:val="none"/>
        </w:rPr>
      </w:pPr>
      <w:r>
        <w:rPr>
          <w:rFonts w:hint="eastAsia" w:ascii="宋体" w:hAnsi="宋体" w:eastAsia="宋体"/>
          <w:b/>
          <w:color w:val="auto"/>
          <w:sz w:val="40"/>
          <w:szCs w:val="40"/>
          <w:highlight w:val="none"/>
        </w:rPr>
        <w:t>目  录</w:t>
      </w:r>
    </w:p>
    <w:p w14:paraId="21051F39">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rFonts w:ascii="宋体" w:hAnsi="宋体" w:eastAsia="宋体" w:cs="黑体"/>
          <w:b/>
          <w:color w:val="auto"/>
          <w:kern w:val="0"/>
          <w:sz w:val="44"/>
          <w:szCs w:val="44"/>
          <w:highlight w:val="none"/>
        </w:rPr>
        <w:fldChar w:fldCharType="begin"/>
      </w:r>
      <w:r>
        <w:rPr>
          <w:rFonts w:ascii="宋体" w:hAnsi="宋体" w:eastAsia="宋体" w:cs="黑体"/>
          <w:b/>
          <w:color w:val="auto"/>
          <w:kern w:val="0"/>
          <w:sz w:val="44"/>
          <w:szCs w:val="44"/>
          <w:highlight w:val="none"/>
        </w:rPr>
        <w:instrText xml:space="preserve"> </w:instrText>
      </w:r>
      <w:r>
        <w:rPr>
          <w:rFonts w:hint="eastAsia" w:ascii="宋体" w:hAnsi="宋体" w:eastAsia="宋体" w:cs="黑体"/>
          <w:b/>
          <w:color w:val="auto"/>
          <w:kern w:val="0"/>
          <w:sz w:val="44"/>
          <w:szCs w:val="44"/>
          <w:highlight w:val="none"/>
        </w:rPr>
        <w:instrText xml:space="preserve">TOC \o "1-2" \h \z \u</w:instrText>
      </w:r>
      <w:r>
        <w:rPr>
          <w:rFonts w:ascii="宋体" w:hAnsi="宋体" w:eastAsia="宋体" w:cs="黑体"/>
          <w:b/>
          <w:color w:val="auto"/>
          <w:kern w:val="0"/>
          <w:sz w:val="44"/>
          <w:szCs w:val="44"/>
          <w:highlight w:val="none"/>
        </w:rPr>
        <w:instrText xml:space="preserve"> </w:instrText>
      </w:r>
      <w:r>
        <w:rPr>
          <w:rFonts w:ascii="宋体" w:hAnsi="宋体" w:eastAsia="宋体" w:cs="黑体"/>
          <w:b/>
          <w:color w:val="auto"/>
          <w:kern w:val="0"/>
          <w:sz w:val="44"/>
          <w:szCs w:val="44"/>
          <w:highlight w:val="none"/>
        </w:rPr>
        <w:fldChar w:fldCharType="separate"/>
      </w:r>
      <w:r>
        <w:rPr>
          <w:color w:val="auto"/>
          <w:highlight w:val="none"/>
        </w:rPr>
        <w:fldChar w:fldCharType="begin"/>
      </w:r>
      <w:r>
        <w:rPr>
          <w:color w:val="auto"/>
          <w:highlight w:val="none"/>
        </w:rPr>
        <w:instrText xml:space="preserve"> HYPERLINK \l "_Toc6853"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第一章  磋商公告</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_Toc6853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1</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64F22DF2">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"_Toc15425"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第二章  供应商须知</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_Toc15425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4</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54D0A952">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"_Toc17809"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第三章  采购需求</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_Toc17809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21</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2F1DFBAB">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"_Toc18055"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第四章  评审方法和标准</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_Toc18055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25</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6E35F6A7">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"_Toc26135"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第五章  采购合同（仅供参考）</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_Toc26135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30</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0BE7586D">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"_Toc6440"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第六章  响应文件格式</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_Toc6440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39</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5C689F40">
      <w:pPr>
        <w:widowControl/>
        <w:wordWrap w:val="0"/>
        <w:spacing w:after="100" w:line="276" w:lineRule="auto"/>
        <w:jc w:val="left"/>
        <w:rPr>
          <w:color w:val="auto"/>
          <w:highlight w:val="none"/>
        </w:rPr>
        <w:sectPr>
          <w:headerReference r:id="rId4" w:type="default"/>
          <w:footerReference r:id="rId5" w:type="default"/>
          <w:pgSz w:w="11906" w:h="16838"/>
          <w:pgMar w:top="1417" w:right="1669" w:bottom="1417" w:left="1837" w:header="851" w:footer="992" w:gutter="0"/>
          <w:cols w:space="720" w:num="1"/>
          <w:docGrid w:type="lines" w:linePitch="312" w:charSpace="0"/>
        </w:sectPr>
      </w:pPr>
      <w:r>
        <w:rPr>
          <w:rFonts w:ascii="Calibri" w:hAnsi="Calibri" w:eastAsia="宋体" w:cs="黑体"/>
          <w:color w:val="auto"/>
          <w:kern w:val="0"/>
          <w:sz w:val="24"/>
          <w:szCs w:val="40"/>
          <w:highlight w:val="none"/>
        </w:rPr>
        <w:fldChar w:fldCharType="end"/>
      </w:r>
      <w:r>
        <w:rPr>
          <w:rFonts w:hint="eastAsia"/>
          <w:color w:val="auto"/>
          <w:highlight w:val="none"/>
        </w:rPr>
        <w:tab/>
      </w:r>
    </w:p>
    <w:p w14:paraId="358CB5E6">
      <w:pPr>
        <w:wordWrap w:val="0"/>
        <w:spacing w:line="360" w:lineRule="auto"/>
        <w:jc w:val="center"/>
        <w:outlineLvl w:val="1"/>
        <w:rPr>
          <w:rFonts w:ascii="华文中宋" w:hAnsi="华文中宋" w:eastAsia="华文中宋" w:cs="Times New Roman"/>
          <w:b/>
          <w:bCs/>
          <w:color w:val="auto"/>
          <w:kern w:val="44"/>
          <w:sz w:val="44"/>
          <w:szCs w:val="44"/>
          <w:highlight w:val="none"/>
        </w:rPr>
      </w:pPr>
      <w:bookmarkStart w:id="1" w:name="_Toc27331"/>
      <w:bookmarkStart w:id="2" w:name="_Toc6853"/>
      <w:r>
        <w:rPr>
          <w:rFonts w:hint="eastAsia" w:ascii="华文中宋" w:hAnsi="华文中宋" w:eastAsia="华文中宋" w:cs="Times New Roman"/>
          <w:b/>
          <w:bCs/>
          <w:color w:val="auto"/>
          <w:kern w:val="44"/>
          <w:sz w:val="44"/>
          <w:szCs w:val="44"/>
          <w:highlight w:val="none"/>
        </w:rPr>
        <w:t xml:space="preserve">第一章  </w:t>
      </w:r>
      <w:bookmarkEnd w:id="1"/>
      <w:r>
        <w:rPr>
          <w:rFonts w:hint="eastAsia" w:ascii="华文中宋" w:hAnsi="华文中宋" w:eastAsia="华文中宋" w:cs="Times New Roman"/>
          <w:b/>
          <w:bCs/>
          <w:color w:val="auto"/>
          <w:kern w:val="44"/>
          <w:sz w:val="44"/>
          <w:szCs w:val="44"/>
          <w:highlight w:val="none"/>
        </w:rPr>
        <w:t>磋商公告</w:t>
      </w:r>
      <w:bookmarkEnd w:id="2"/>
    </w:p>
    <w:p w14:paraId="43C16E95">
      <w:pPr>
        <w:wordWrap w:val="0"/>
        <w:snapToGrid w:val="0"/>
        <w:spacing w:line="360" w:lineRule="auto"/>
        <w:ind w:firstLine="560" w:firstLineChars="200"/>
        <w:rPr>
          <w:rFonts w:ascii="仿宋" w:hAnsi="仿宋" w:eastAsia="仿宋" w:cs="仿宋"/>
          <w:color w:val="auto"/>
          <w:sz w:val="28"/>
          <w:szCs w:val="28"/>
          <w:highlight w:val="none"/>
        </w:rPr>
      </w:pPr>
      <w:bookmarkStart w:id="3" w:name="_Toc28359013"/>
      <w:bookmarkStart w:id="4" w:name="_Toc28359090"/>
      <w:bookmarkStart w:id="5" w:name="_Toc35393630"/>
      <w:bookmarkStart w:id="6" w:name="_Toc35393799"/>
    </w:p>
    <w:p w14:paraId="401A5507">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98F8CAE">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u w:val="single"/>
          <w:lang w:eastAsia="zh-CN"/>
        </w:rPr>
        <w:t>猎头服务机构遴选</w:t>
      </w:r>
      <w:r>
        <w:rPr>
          <w:rFonts w:hint="eastAsia" w:ascii="仿宋" w:hAnsi="仿宋" w:eastAsia="仿宋" w:cs="仿宋"/>
          <w:color w:val="auto"/>
          <w:sz w:val="28"/>
          <w:szCs w:val="28"/>
          <w:highlight w:val="none"/>
        </w:rPr>
        <w:t>的潜在供应商应在</w:t>
      </w:r>
      <w:r>
        <w:rPr>
          <w:rFonts w:hint="eastAsia" w:ascii="仿宋" w:hAnsi="仿宋" w:eastAsia="仿宋" w:cs="仿宋"/>
          <w:color w:val="auto"/>
          <w:sz w:val="28"/>
          <w:szCs w:val="28"/>
          <w:highlight w:val="none"/>
          <w:u w:val="single"/>
        </w:rPr>
        <w:t>能工社—安招采电子招标采购交易系统（www.anzhaocai.com）</w:t>
      </w:r>
      <w:r>
        <w:rPr>
          <w:rFonts w:hint="eastAsia" w:ascii="仿宋" w:hAnsi="仿宋" w:eastAsia="仿宋" w:cs="仿宋"/>
          <w:color w:val="auto"/>
          <w:sz w:val="28"/>
          <w:szCs w:val="28"/>
          <w:highlight w:val="none"/>
        </w:rPr>
        <w:t>获取采购文件，并于</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点00分</w:t>
      </w:r>
      <w:r>
        <w:rPr>
          <w:rFonts w:hint="eastAsia" w:ascii="仿宋" w:hAnsi="仿宋" w:eastAsia="仿宋" w:cs="仿宋"/>
          <w:color w:val="auto"/>
          <w:sz w:val="28"/>
          <w:szCs w:val="28"/>
          <w:highlight w:val="none"/>
        </w:rPr>
        <w:t>（北京时间）</w:t>
      </w:r>
      <w:r>
        <w:rPr>
          <w:rFonts w:hint="eastAsia" w:ascii="仿宋" w:hAnsi="仿宋" w:eastAsia="仿宋" w:cs="仿宋"/>
          <w:bCs/>
          <w:color w:val="auto"/>
          <w:sz w:val="28"/>
          <w:szCs w:val="28"/>
          <w:highlight w:val="none"/>
        </w:rPr>
        <w:t>前提交响应文件。</w:t>
      </w:r>
    </w:p>
    <w:p w14:paraId="5080A19D">
      <w:pPr>
        <w:pStyle w:val="23"/>
        <w:keepNext w:val="0"/>
        <w:keepLines w:val="0"/>
        <w:pageBreakBefore w:val="0"/>
        <w:widowControl w:val="0"/>
        <w:kinsoku/>
        <w:wordWrap w:val="0"/>
        <w:overflowPunct/>
        <w:topLinePunct w:val="0"/>
        <w:autoSpaceDE/>
        <w:autoSpaceDN/>
        <w:bidi w:val="0"/>
        <w:adjustRightInd/>
        <w:spacing w:line="360" w:lineRule="auto"/>
        <w:ind w:firstLine="210"/>
        <w:jc w:val="left"/>
        <w:textAlignment w:val="auto"/>
        <w:rPr>
          <w:color w:val="auto"/>
          <w:highlight w:val="none"/>
        </w:rPr>
      </w:pPr>
    </w:p>
    <w:p w14:paraId="2999CFE4">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bookmarkStart w:id="7" w:name="_Toc28359012"/>
      <w:bookmarkStart w:id="8" w:name="_Toc28359089"/>
      <w:bookmarkStart w:id="9" w:name="_Toc35393798"/>
      <w:bookmarkStart w:id="10" w:name="_Toc35393629"/>
      <w:r>
        <w:rPr>
          <w:rFonts w:hint="eastAsia" w:ascii="黑体" w:hAnsi="黑体" w:eastAsia="黑体" w:cs="黑体"/>
          <w:b/>
          <w:bCs/>
          <w:color w:val="auto"/>
          <w:sz w:val="28"/>
          <w:szCs w:val="28"/>
          <w:highlight w:val="none"/>
        </w:rPr>
        <w:t>一、项目基本情况</w:t>
      </w:r>
      <w:bookmarkEnd w:id="7"/>
      <w:bookmarkEnd w:id="8"/>
      <w:bookmarkEnd w:id="9"/>
      <w:bookmarkEnd w:id="10"/>
    </w:p>
    <w:p w14:paraId="1D9AB81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ZB202606094</w:t>
      </w:r>
    </w:p>
    <w:p w14:paraId="4AEA5DC5">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猎头服务机构遴选</w:t>
      </w:r>
    </w:p>
    <w:p w14:paraId="1229A5D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采购方式：磋商</w:t>
      </w:r>
    </w:p>
    <w:p w14:paraId="3C5B4345">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预算金额：4</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年</w:t>
      </w:r>
    </w:p>
    <w:p w14:paraId="79C729BE">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采购需求：本项目拟采购</w:t>
      </w:r>
      <w:r>
        <w:rPr>
          <w:rFonts w:hint="eastAsia" w:ascii="仿宋" w:hAnsi="仿宋" w:eastAsia="仿宋" w:cs="仿宋"/>
          <w:color w:val="auto"/>
          <w:sz w:val="28"/>
          <w:szCs w:val="28"/>
          <w:highlight w:val="none"/>
          <w:lang w:eastAsia="zh-CN"/>
        </w:rPr>
        <w:t>一家人力资源服务机构，</w:t>
      </w:r>
      <w:r>
        <w:rPr>
          <w:rFonts w:hint="eastAsia" w:ascii="仿宋" w:hAnsi="仿宋" w:eastAsia="仿宋" w:cs="仿宋"/>
          <w:color w:val="auto"/>
          <w:sz w:val="28"/>
          <w:szCs w:val="28"/>
          <w:highlight w:val="none"/>
        </w:rPr>
        <w:t>为合肥综合性国家科学中心大健康研究院</w:t>
      </w:r>
      <w:r>
        <w:rPr>
          <w:rFonts w:hint="eastAsia" w:ascii="仿宋" w:hAnsi="仿宋" w:eastAsia="仿宋" w:cs="仿宋"/>
          <w:color w:val="auto"/>
          <w:sz w:val="28"/>
          <w:szCs w:val="28"/>
          <w:highlight w:val="none"/>
          <w:lang w:eastAsia="zh-CN"/>
        </w:rPr>
        <w:t>提供高级人才寻访（猎头）服务</w:t>
      </w:r>
      <w:r>
        <w:rPr>
          <w:rFonts w:hint="default" w:ascii="仿宋" w:hAnsi="仿宋" w:eastAsia="仿宋" w:cs="仿宋"/>
          <w:color w:val="auto"/>
          <w:sz w:val="28"/>
          <w:szCs w:val="28"/>
          <w:highlight w:val="none"/>
        </w:rPr>
        <w:t>，具体详见采购需求。</w:t>
      </w:r>
    </w:p>
    <w:p w14:paraId="194AB47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eastAsia="zh-CN"/>
        </w:rPr>
        <w:t>合同签订采用1+1+1方式，总体不超过三年。上一年合同期满后，双方无异议续签下一年合同，具体时间节点以采购人要求为准。</w:t>
      </w:r>
    </w:p>
    <w:p w14:paraId="31EBEC1C">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w:t>
      </w:r>
    </w:p>
    <w:p w14:paraId="7D36DB26">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二、申请人的资格要求</w:t>
      </w:r>
    </w:p>
    <w:p w14:paraId="2BD9EDD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供应商须</w:t>
      </w:r>
      <w:r>
        <w:rPr>
          <w:rFonts w:hint="eastAsia" w:ascii="仿宋" w:hAnsi="仿宋" w:eastAsia="仿宋" w:cs="仿宋"/>
          <w:color w:val="auto"/>
          <w:sz w:val="28"/>
          <w:szCs w:val="28"/>
          <w:highlight w:val="none"/>
        </w:rPr>
        <w:t>具有有效的营业执照。</w:t>
      </w:r>
    </w:p>
    <w:p w14:paraId="4AD43FD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2.本项目的特定资格要求：无。</w:t>
      </w:r>
    </w:p>
    <w:p w14:paraId="651CB7EF">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3.供应商不得存在以下不良信用记录情形：</w:t>
      </w:r>
    </w:p>
    <w:p w14:paraId="5745B101">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（1）供应商被人民法院列入失信被执行人的；</w:t>
      </w:r>
    </w:p>
    <w:p w14:paraId="178DCC7C">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（2）供应商被市场监督管理部门列入企业经营异常名录的；</w:t>
      </w:r>
    </w:p>
    <w:p w14:paraId="57196176">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（3）供应商被税务部门列入重大税收违法案件当事人名单的。</w:t>
      </w:r>
    </w:p>
    <w:p w14:paraId="62534824">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三、获取采购文件</w:t>
      </w:r>
    </w:p>
    <w:p w14:paraId="532ECE73">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1.获取时间：</w:t>
      </w:r>
      <w:r>
        <w:rPr>
          <w:rFonts w:hint="eastAsia" w:ascii="仿宋" w:hAnsi="仿宋" w:eastAsia="仿宋" w:cs="仿宋"/>
          <w:color w:val="auto"/>
          <w:sz w:val="28"/>
          <w:szCs w:val="28"/>
          <w:highlight w:val="none"/>
        </w:rPr>
        <w:t>2026年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17:00</w:t>
      </w:r>
      <w:r>
        <w:rPr>
          <w:rFonts w:hint="eastAsia" w:ascii="仿宋" w:hAnsi="仿宋" w:eastAsia="仿宋" w:cs="仿宋"/>
          <w:color w:val="auto"/>
          <w:sz w:val="28"/>
          <w:szCs w:val="28"/>
          <w:highlight w:val="none"/>
        </w:rPr>
        <w:t>至2026年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rPr>
        <w:t>，每天上午0:00到12:00，下午12:00到23:59（北京时间，法定节假日除外）。</w:t>
      </w:r>
    </w:p>
    <w:p w14:paraId="31C5306C">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2.获取地点：能工社—安招采电子招标采购交易系统（www.anzhaocai.com）。</w:t>
      </w:r>
    </w:p>
    <w:p w14:paraId="7204F92B">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3.获取方式：登录上述网站并下载磋商文件及相关附件。</w:t>
      </w:r>
    </w:p>
    <w:p w14:paraId="24F1DF18">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四、响应文件提交</w:t>
      </w:r>
    </w:p>
    <w:p w14:paraId="039599D5">
      <w:pPr>
        <w:keepNext w:val="0"/>
        <w:keepLines w:val="0"/>
        <w:pageBreakBefore w:val="0"/>
        <w:widowControl w:val="0"/>
        <w:kinsoku/>
        <w:wordWrap w:val="0"/>
        <w:overflowPunct/>
        <w:topLinePunct w:val="0"/>
        <w:autoSpaceDE/>
        <w:autoSpaceDN/>
        <w:bidi w:val="0"/>
        <w:adjustRightInd/>
        <w:spacing w:line="360" w:lineRule="auto"/>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1.提交截止时间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点00分</w:t>
      </w:r>
      <w:r>
        <w:rPr>
          <w:rFonts w:hint="eastAsia" w:ascii="仿宋" w:hAnsi="仿宋" w:eastAsia="仿宋" w:cs="仿宋"/>
          <w:bCs/>
          <w:color w:val="auto"/>
          <w:sz w:val="28"/>
          <w:szCs w:val="28"/>
          <w:highlight w:val="none"/>
        </w:rPr>
        <w:t>（北京时间）</w:t>
      </w:r>
    </w:p>
    <w:p w14:paraId="446C7371">
      <w:pPr>
        <w:keepNext w:val="0"/>
        <w:keepLines w:val="0"/>
        <w:pageBreakBefore w:val="0"/>
        <w:widowControl w:val="0"/>
        <w:kinsoku/>
        <w:wordWrap w:val="0"/>
        <w:overflowPunct/>
        <w:topLinePunct w:val="0"/>
        <w:autoSpaceDE/>
        <w:autoSpaceDN/>
        <w:bidi w:val="0"/>
        <w:adjustRightIn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2.提交地点：合肥市经济技术开发区翡翠路188号港澳广场A座19楼第三会议室。</w:t>
      </w:r>
    </w:p>
    <w:p w14:paraId="50B3A25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3.提交方式：</w:t>
      </w:r>
    </w:p>
    <w:p w14:paraId="55A99BA0">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1）现场递交，合肥市经济技术开发区翡翠路188号港澳广场A座19楼第三会议室。逾期提交或所提交的响应文件不符合规定的，采购人拒绝接收。</w:t>
      </w:r>
    </w:p>
    <w:p w14:paraId="41245840">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2）邮寄递交，以邮件签收时间为准，供应商应充分考虑邮寄时效性，供应商自行承担相关责任，邮寄地址</w:t>
      </w:r>
      <w:r>
        <w:rPr>
          <w:rFonts w:hint="eastAsia" w:ascii="仿宋" w:hAnsi="仿宋" w:eastAsia="仿宋" w:cs="仿宋"/>
          <w:color w:val="auto"/>
          <w:sz w:val="28"/>
          <w:szCs w:val="28"/>
          <w:highlight w:val="none"/>
        </w:rPr>
        <w:t>为合肥市经济技术开发区翡翠路188号港澳广场A座1</w:t>
      </w:r>
      <w:r>
        <w:rPr>
          <w:rFonts w:ascii="仿宋" w:hAnsi="仿宋" w:eastAsia="仿宋" w:cs="仿宋"/>
          <w:color w:val="auto"/>
          <w:sz w:val="28"/>
          <w:szCs w:val="28"/>
          <w:highlight w:val="none"/>
        </w:rPr>
        <w:t>802。</w:t>
      </w:r>
    </w:p>
    <w:p w14:paraId="6FB4F92B">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五、开启</w:t>
      </w:r>
    </w:p>
    <w:p w14:paraId="219128F8">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1.开启时间：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w:t>
      </w:r>
      <w:bookmarkStart w:id="171" w:name="_GoBack"/>
      <w:bookmarkEnd w:id="171"/>
      <w:r>
        <w:rPr>
          <w:rFonts w:hint="eastAsia" w:ascii="仿宋" w:hAnsi="仿宋" w:eastAsia="仿宋" w:cs="仿宋"/>
          <w:color w:val="auto"/>
          <w:sz w:val="28"/>
          <w:szCs w:val="28"/>
          <w:highlight w:val="none"/>
          <w:lang w:eastAsia="zh-CN"/>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点00分</w:t>
      </w:r>
      <w:r>
        <w:rPr>
          <w:rFonts w:hint="eastAsia" w:ascii="仿宋" w:hAnsi="仿宋" w:eastAsia="仿宋" w:cs="仿宋"/>
          <w:bCs/>
          <w:color w:val="auto"/>
          <w:sz w:val="28"/>
          <w:szCs w:val="28"/>
          <w:highlight w:val="none"/>
        </w:rPr>
        <w:t>（北京时间）</w:t>
      </w:r>
    </w:p>
    <w:p w14:paraId="5199D99F">
      <w:pPr>
        <w:keepNext w:val="0"/>
        <w:keepLines w:val="0"/>
        <w:pageBreakBefore w:val="0"/>
        <w:widowControl w:val="0"/>
        <w:kinsoku/>
        <w:wordWrap w:val="0"/>
        <w:overflowPunct/>
        <w:topLinePunct w:val="0"/>
        <w:autoSpaceDE/>
        <w:autoSpaceDN/>
        <w:bidi w:val="0"/>
        <w:adjustRightInd/>
        <w:spacing w:line="360" w:lineRule="auto"/>
        <w:ind w:firstLine="560" w:firstLineChars="200"/>
        <w:textAlignment w:val="auto"/>
        <w:rPr>
          <w:rFonts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2.开启地点：合肥市经济技术开发区翡翠路188号港澳广场A座19楼第三会议室。</w:t>
      </w:r>
    </w:p>
    <w:p w14:paraId="1B4025A8">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六、公告期限</w:t>
      </w:r>
    </w:p>
    <w:p w14:paraId="345C68A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w:t>
      </w:r>
      <w:r>
        <w:rPr>
          <w:rFonts w:hint="eastAsia" w:ascii="仿宋" w:hAnsi="仿宋" w:eastAsia="仿宋" w:cs="仿宋"/>
          <w:color w:val="auto"/>
          <w:sz w:val="28"/>
          <w:szCs w:val="28"/>
          <w:highlight w:val="none"/>
          <w:u w:val="single"/>
        </w:rPr>
        <w:t xml:space="preserve"> 3 </w:t>
      </w:r>
      <w:r>
        <w:rPr>
          <w:rFonts w:hint="eastAsia" w:ascii="仿宋" w:hAnsi="仿宋" w:eastAsia="仿宋" w:cs="仿宋"/>
          <w:color w:val="auto"/>
          <w:sz w:val="28"/>
          <w:szCs w:val="28"/>
          <w:highlight w:val="none"/>
        </w:rPr>
        <w:t>个工作日。</w:t>
      </w:r>
    </w:p>
    <w:p w14:paraId="3C5765FE">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七、其他补充事宜</w:t>
      </w:r>
    </w:p>
    <w:p w14:paraId="701E1A46">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1.供应商必须在</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文件获取时间内完成报名并获取</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w:t>
      </w:r>
    </w:p>
    <w:p w14:paraId="3975F83E">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2.如有任何疑问或问题，请在工作时间（周一至周五，上午9:00—12:00，下午13:30—17:30，节假日休息除外）与采购代理机构联系人联系。</w:t>
      </w:r>
    </w:p>
    <w:p w14:paraId="33239EB6">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3.供应商应合理安排获取</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文件时间及响应时间。如因供应商自身原因耽误造成无法获取</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文件，责任自负。</w:t>
      </w:r>
    </w:p>
    <w:p w14:paraId="02EB7004">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八、凡对本次采购提出询问，请按以下方式联系</w:t>
      </w:r>
    </w:p>
    <w:bookmarkEnd w:id="3"/>
    <w:bookmarkEnd w:id="4"/>
    <w:bookmarkEnd w:id="5"/>
    <w:bookmarkEnd w:id="6"/>
    <w:p w14:paraId="7F055B6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177D6DA3">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称：合肥综合性国家科学中心大健康研究院</w:t>
      </w:r>
    </w:p>
    <w:p w14:paraId="243E626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址：合肥经济技术开发区宿松路与观海路交口西北角</w:t>
      </w:r>
    </w:p>
    <w:p w14:paraId="6C126D83">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eastAsia="zh-CN"/>
        </w:rPr>
        <w:t>彭老师，0551-63661211</w:t>
      </w:r>
    </w:p>
    <w:p w14:paraId="76D05B0F">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2.采购代理机构信息 </w:t>
      </w:r>
    </w:p>
    <w:p w14:paraId="1C5E25C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称：鼎信数智技术集团股份有限公司</w:t>
      </w:r>
    </w:p>
    <w:p w14:paraId="6B4DF85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址：合肥市经济技术开发区翡翠路188号港澳广场A座17-20层</w:t>
      </w:r>
    </w:p>
    <w:p w14:paraId="0961DB31">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联系方式：18226628215</w:t>
      </w:r>
    </w:p>
    <w:p w14:paraId="25CCEF1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p>
    <w:p w14:paraId="5A33114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项目联系人：肖榕</w:t>
      </w:r>
    </w:p>
    <w:p w14:paraId="7D3AA915">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宋体" w:hAnsi="宋体" w:eastAsia="宋体"/>
          <w:color w:val="auto"/>
          <w:sz w:val="24"/>
          <w:szCs w:val="18"/>
          <w:highlight w:val="none"/>
        </w:rPr>
      </w:pPr>
      <w:r>
        <w:rPr>
          <w:rFonts w:hint="eastAsia" w:ascii="仿宋" w:hAnsi="仿宋" w:eastAsia="仿宋" w:cs="仿宋"/>
          <w:color w:val="auto"/>
          <w:sz w:val="28"/>
          <w:szCs w:val="28"/>
          <w:highlight w:val="none"/>
        </w:rPr>
        <w:t>电    话：0551-63828737-8633,18226628215</w:t>
      </w:r>
      <w:r>
        <w:rPr>
          <w:rFonts w:hint="eastAsia" w:ascii="仿宋" w:hAnsi="仿宋" w:eastAsia="仿宋" w:cs="仿宋"/>
          <w:color w:val="auto"/>
          <w:sz w:val="28"/>
          <w:szCs w:val="28"/>
          <w:highlight w:val="none"/>
        </w:rPr>
        <w:br w:type="page"/>
      </w:r>
    </w:p>
    <w:p w14:paraId="3E38198D">
      <w:pPr>
        <w:wordWrap w:val="0"/>
        <w:spacing w:line="360" w:lineRule="auto"/>
        <w:jc w:val="center"/>
        <w:outlineLvl w:val="1"/>
        <w:rPr>
          <w:rFonts w:ascii="华文中宋" w:hAnsi="华文中宋" w:eastAsia="华文中宋" w:cs="Times New Roman"/>
          <w:b/>
          <w:bCs/>
          <w:color w:val="auto"/>
          <w:kern w:val="44"/>
          <w:sz w:val="44"/>
          <w:szCs w:val="44"/>
          <w:highlight w:val="none"/>
        </w:rPr>
      </w:pPr>
      <w:bookmarkStart w:id="11" w:name="_Toc15425"/>
      <w:r>
        <w:rPr>
          <w:rFonts w:hint="eastAsia" w:ascii="华文中宋" w:hAnsi="华文中宋" w:eastAsia="华文中宋" w:cs="Times New Roman"/>
          <w:b/>
          <w:bCs/>
          <w:color w:val="auto"/>
          <w:kern w:val="44"/>
          <w:sz w:val="44"/>
          <w:szCs w:val="44"/>
          <w:highlight w:val="none"/>
        </w:rPr>
        <w:t>第二章  供应商须知</w:t>
      </w:r>
      <w:bookmarkEnd w:id="11"/>
    </w:p>
    <w:p w14:paraId="3A3D1DB6">
      <w:pPr>
        <w:wordWrap w:val="0"/>
        <w:spacing w:line="440" w:lineRule="exact"/>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一、供应商</w:t>
      </w:r>
      <w:r>
        <w:rPr>
          <w:rFonts w:ascii="宋体" w:hAnsi="宋体" w:eastAsia="宋体"/>
          <w:b/>
          <w:color w:val="auto"/>
          <w:sz w:val="28"/>
          <w:szCs w:val="28"/>
          <w:highlight w:val="none"/>
        </w:rPr>
        <w:t>须知前附表</w:t>
      </w:r>
    </w:p>
    <w:p w14:paraId="48CE4475">
      <w:pPr>
        <w:wordWrap w:val="0"/>
        <w:spacing w:line="440" w:lineRule="exact"/>
        <w:ind w:firstLine="435"/>
        <w:jc w:val="left"/>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2C2C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89B451">
            <w:pPr>
              <w:pStyle w:val="33"/>
              <w:widowControl w:val="0"/>
              <w:wordWrap w:val="0"/>
              <w:spacing w:before="0" w:beforeAutospacing="0" w:after="0" w:afterAutospacing="0" w:line="440" w:lineRule="exact"/>
              <w:rPr>
                <w:rFonts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2025" w:type="dxa"/>
            <w:vAlign w:val="center"/>
          </w:tcPr>
          <w:p w14:paraId="4F016701">
            <w:pPr>
              <w:pStyle w:val="33"/>
              <w:widowControl w:val="0"/>
              <w:wordWrap w:val="0"/>
              <w:spacing w:before="0" w:beforeAutospacing="0" w:after="0" w:afterAutospacing="0" w:line="440" w:lineRule="exact"/>
              <w:rPr>
                <w:rFonts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5466" w:type="dxa"/>
            <w:vAlign w:val="center"/>
          </w:tcPr>
          <w:p w14:paraId="2FB0C1BC">
            <w:pPr>
              <w:pStyle w:val="33"/>
              <w:widowControl w:val="0"/>
              <w:wordWrap w:val="0"/>
              <w:spacing w:before="0" w:beforeAutospacing="0" w:after="0" w:afterAutospacing="0" w:line="440" w:lineRule="exact"/>
              <w:rPr>
                <w:rFonts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66B8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1437121">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3.1</w:t>
            </w:r>
          </w:p>
        </w:tc>
        <w:tc>
          <w:tcPr>
            <w:tcW w:w="2025" w:type="dxa"/>
            <w:vAlign w:val="center"/>
          </w:tcPr>
          <w:p w14:paraId="70595606">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w:t>
            </w:r>
          </w:p>
        </w:tc>
        <w:tc>
          <w:tcPr>
            <w:tcW w:w="5466" w:type="dxa"/>
            <w:vAlign w:val="center"/>
          </w:tcPr>
          <w:p w14:paraId="17B4893B">
            <w:pPr>
              <w:pStyle w:val="33"/>
              <w:widowControl w:val="0"/>
              <w:wordWrap w:val="0"/>
              <w:spacing w:before="0" w:beforeAutospacing="0" w:after="0" w:afterAutospacing="0" w:line="440" w:lineRule="exact"/>
              <w:jc w:val="left"/>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sz w:val="24"/>
                <w:szCs w:val="24"/>
                <w:highlight w:val="none"/>
                <w:u w:val="single"/>
              </w:rPr>
              <w:t>合肥综合性国家科学中心大健康研究院</w:t>
            </w:r>
          </w:p>
        </w:tc>
      </w:tr>
      <w:tr w14:paraId="117F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4C71E5E">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w:t>
            </w:r>
          </w:p>
        </w:tc>
        <w:tc>
          <w:tcPr>
            <w:tcW w:w="2025" w:type="dxa"/>
            <w:vAlign w:val="center"/>
          </w:tcPr>
          <w:p w14:paraId="551CF3E8">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采购代理机构</w:t>
            </w:r>
          </w:p>
        </w:tc>
        <w:tc>
          <w:tcPr>
            <w:tcW w:w="5466" w:type="dxa"/>
            <w:vAlign w:val="center"/>
          </w:tcPr>
          <w:p w14:paraId="07E8C33C">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rPr>
              <w:t>鼎信数智技术集团股份有限公司</w:t>
            </w:r>
          </w:p>
        </w:tc>
      </w:tr>
      <w:tr w14:paraId="3D68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DFCEAAE">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w:t>
            </w:r>
          </w:p>
        </w:tc>
        <w:tc>
          <w:tcPr>
            <w:tcW w:w="2025" w:type="dxa"/>
            <w:vAlign w:val="center"/>
          </w:tcPr>
          <w:p w14:paraId="210298FF">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采购监督管理部门</w:t>
            </w:r>
          </w:p>
        </w:tc>
        <w:tc>
          <w:tcPr>
            <w:tcW w:w="5466" w:type="dxa"/>
            <w:vAlign w:val="center"/>
          </w:tcPr>
          <w:p w14:paraId="3D6766AA">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 xml:space="preserve">   /   </w:t>
            </w:r>
          </w:p>
        </w:tc>
      </w:tr>
      <w:tr w14:paraId="43E4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CDB14BE">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szCs w:val="24"/>
                <w:highlight w:val="none"/>
              </w:rPr>
            </w:pPr>
            <w:r>
              <w:rPr>
                <w:rFonts w:hint="eastAsia" w:ascii="宋体" w:hAnsi="宋体" w:eastAsia="宋体" w:cs="宋体"/>
                <w:bCs/>
                <w:color w:val="auto"/>
                <w:kern w:val="2"/>
                <w:szCs w:val="24"/>
                <w:highlight w:val="none"/>
              </w:rPr>
              <w:t>3.5</w:t>
            </w:r>
          </w:p>
        </w:tc>
        <w:tc>
          <w:tcPr>
            <w:tcW w:w="2025" w:type="dxa"/>
            <w:vAlign w:val="center"/>
          </w:tcPr>
          <w:p w14:paraId="32ABF5C4">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是否允许联合体参加磋商</w:t>
            </w:r>
          </w:p>
        </w:tc>
        <w:tc>
          <w:tcPr>
            <w:tcW w:w="5466" w:type="dxa"/>
            <w:vAlign w:val="center"/>
          </w:tcPr>
          <w:p w14:paraId="0C7C4296">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u w:val="single"/>
              </w:rPr>
            </w:pPr>
            <w:r>
              <w:rPr>
                <w:rFonts w:hint="eastAsia" w:ascii="宋体" w:hAnsi="宋体" w:eastAsia="宋体" w:cs="宋体"/>
                <w:b w:val="0"/>
                <w:color w:val="auto"/>
                <w:sz w:val="24"/>
                <w:szCs w:val="24"/>
                <w:highlight w:val="none"/>
              </w:rPr>
              <w:t xml:space="preserve">□是  </w:t>
            </w: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否</w:t>
            </w:r>
          </w:p>
        </w:tc>
      </w:tr>
      <w:tr w14:paraId="7C20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20B6F99">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szCs w:val="24"/>
                <w:highlight w:val="none"/>
              </w:rPr>
            </w:pPr>
            <w:r>
              <w:rPr>
                <w:rFonts w:hint="eastAsia" w:ascii="宋体" w:hAnsi="宋体" w:eastAsia="宋体" w:cs="宋体"/>
                <w:bCs/>
                <w:color w:val="auto"/>
                <w:kern w:val="2"/>
                <w:szCs w:val="24"/>
                <w:highlight w:val="none"/>
              </w:rPr>
              <w:t>3.6</w:t>
            </w:r>
          </w:p>
        </w:tc>
        <w:tc>
          <w:tcPr>
            <w:tcW w:w="2025" w:type="dxa"/>
            <w:vAlign w:val="center"/>
          </w:tcPr>
          <w:p w14:paraId="133D6C6E">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是否专门面向中小企业</w:t>
            </w:r>
          </w:p>
        </w:tc>
        <w:tc>
          <w:tcPr>
            <w:tcW w:w="5466" w:type="dxa"/>
            <w:vAlign w:val="center"/>
          </w:tcPr>
          <w:p w14:paraId="690627CF">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u w:val="single"/>
              </w:rPr>
            </w:pPr>
            <w:r>
              <w:rPr>
                <w:rFonts w:hint="eastAsia" w:ascii="宋体" w:hAnsi="宋体" w:eastAsia="宋体" w:cs="宋体"/>
                <w:b w:val="0"/>
                <w:color w:val="auto"/>
                <w:sz w:val="24"/>
                <w:szCs w:val="24"/>
                <w:highlight w:val="none"/>
              </w:rPr>
              <w:t xml:space="preserve">□是  </w:t>
            </w: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否</w:t>
            </w:r>
          </w:p>
        </w:tc>
      </w:tr>
      <w:tr w14:paraId="2D25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4FAB520">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7.3</w:t>
            </w:r>
          </w:p>
        </w:tc>
        <w:tc>
          <w:tcPr>
            <w:tcW w:w="2025" w:type="dxa"/>
            <w:vAlign w:val="center"/>
          </w:tcPr>
          <w:p w14:paraId="2AD2465C">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现场考察</w:t>
            </w:r>
          </w:p>
        </w:tc>
        <w:tc>
          <w:tcPr>
            <w:tcW w:w="5466" w:type="dxa"/>
            <w:vAlign w:val="center"/>
          </w:tcPr>
          <w:p w14:paraId="45922BA1">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不组织，供应商</w:t>
            </w:r>
            <w:r>
              <w:rPr>
                <w:rFonts w:hint="eastAsia" w:ascii="宋体" w:hAnsi="宋体" w:eastAsia="宋体" w:cs="宋体"/>
                <w:bCs/>
                <w:color w:val="auto"/>
                <w:sz w:val="24"/>
                <w:szCs w:val="24"/>
                <w:highlight w:val="none"/>
              </w:rPr>
              <w:t>自行考察</w:t>
            </w:r>
          </w:p>
          <w:p w14:paraId="71F80064">
            <w:pPr>
              <w:wordWrap w:val="0"/>
              <w:spacing w:line="440" w:lineRule="exact"/>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p>
        </w:tc>
      </w:tr>
      <w:tr w14:paraId="4555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BCB5E2E">
            <w:pPr>
              <w:pStyle w:val="34"/>
              <w:pBdr>
                <w:bottom w:val="none" w:color="auto" w:sz="0" w:space="0"/>
              </w:pBdr>
              <w:wordWrap w:val="0"/>
              <w:adjustRightInd/>
              <w:spacing w:line="440" w:lineRule="exact"/>
              <w:textAlignment w:val="auto"/>
              <w:rPr>
                <w:rFonts w:ascii="宋体" w:hAnsi="宋体" w:eastAsia="宋体" w:cs="宋体"/>
                <w:bCs/>
                <w:color w:val="auto"/>
                <w:szCs w:val="24"/>
                <w:highlight w:val="none"/>
              </w:rPr>
            </w:pPr>
            <w:r>
              <w:rPr>
                <w:rFonts w:hint="eastAsia" w:ascii="宋体" w:hAnsi="宋体" w:eastAsia="宋体" w:cs="宋体"/>
                <w:bCs/>
                <w:color w:val="auto"/>
                <w:kern w:val="2"/>
                <w:szCs w:val="24"/>
                <w:highlight w:val="none"/>
              </w:rPr>
              <w:t>8.1</w:t>
            </w:r>
          </w:p>
        </w:tc>
        <w:tc>
          <w:tcPr>
            <w:tcW w:w="2025" w:type="dxa"/>
            <w:vAlign w:val="center"/>
          </w:tcPr>
          <w:p w14:paraId="3499F6B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询问截止时间</w:t>
            </w:r>
          </w:p>
        </w:tc>
        <w:tc>
          <w:tcPr>
            <w:tcW w:w="5466" w:type="dxa"/>
            <w:vAlign w:val="center"/>
          </w:tcPr>
          <w:p w14:paraId="0DF81B54">
            <w:pPr>
              <w:pStyle w:val="33"/>
              <w:widowControl w:val="0"/>
              <w:wordWrap w:val="0"/>
              <w:spacing w:before="0" w:beforeAutospacing="0" w:after="0" w:afterAutospacing="0" w:line="440" w:lineRule="exact"/>
              <w:jc w:val="left"/>
              <w:rPr>
                <w:rFonts w:ascii="宋体" w:hAnsi="宋体" w:eastAsia="宋体" w:cs="宋体"/>
                <w:bCs w:val="0"/>
                <w:color w:val="auto"/>
                <w:sz w:val="24"/>
                <w:szCs w:val="24"/>
                <w:highlight w:val="none"/>
              </w:rPr>
            </w:pPr>
            <w:r>
              <w:rPr>
                <w:rFonts w:hint="eastAsia" w:ascii="宋体" w:hAnsi="宋体" w:eastAsia="宋体" w:cs="宋体"/>
                <w:b w:val="0"/>
                <w:color w:val="auto"/>
                <w:sz w:val="24"/>
                <w:szCs w:val="24"/>
                <w:highlight w:val="none"/>
              </w:rPr>
              <w:t>递交响应文件前5日，供应商如对磋商文件内容有疑问，应在询问截止时间前以书面提问形式提交给采购代理机构（电子邮箱地址：450640644@qq.com）</w:t>
            </w:r>
          </w:p>
        </w:tc>
      </w:tr>
      <w:tr w14:paraId="47BB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007E5EB0">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w:t>
            </w:r>
          </w:p>
        </w:tc>
        <w:tc>
          <w:tcPr>
            <w:tcW w:w="2025" w:type="dxa"/>
            <w:vAlign w:val="center"/>
          </w:tcPr>
          <w:p w14:paraId="75E8E983">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5466" w:type="dxa"/>
            <w:vAlign w:val="center"/>
          </w:tcPr>
          <w:p w14:paraId="5759D2C5">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不分包     □分为</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个包</w:t>
            </w:r>
          </w:p>
          <w:p w14:paraId="0F1B2B66">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供应商参加多个包磋商的响应文件制作、提交要求：按包别分别制作响应文件，分别提交（上传）。</w:t>
            </w:r>
          </w:p>
          <w:p w14:paraId="55AC9BB0">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供应商参加多个包磋商的成交包数规定：</w:t>
            </w:r>
            <w:r>
              <w:rPr>
                <w:rFonts w:hint="eastAsia" w:ascii="宋体" w:hAnsi="宋体" w:eastAsia="宋体" w:cs="宋体"/>
                <w:b w:val="0"/>
                <w:bCs w:val="0"/>
                <w:color w:val="auto"/>
                <w:sz w:val="24"/>
                <w:szCs w:val="24"/>
                <w:highlight w:val="none"/>
                <w:u w:val="single"/>
              </w:rPr>
              <w:t xml:space="preserve">  /  </w:t>
            </w:r>
          </w:p>
        </w:tc>
      </w:tr>
      <w:tr w14:paraId="0D1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04" w:type="dxa"/>
            <w:vAlign w:val="center"/>
          </w:tcPr>
          <w:p w14:paraId="490C73A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13.1</w:t>
            </w:r>
          </w:p>
        </w:tc>
        <w:tc>
          <w:tcPr>
            <w:tcW w:w="2025" w:type="dxa"/>
            <w:vAlign w:val="center"/>
          </w:tcPr>
          <w:p w14:paraId="32AC6AE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磋商保证金</w:t>
            </w:r>
          </w:p>
        </w:tc>
        <w:tc>
          <w:tcPr>
            <w:tcW w:w="5466" w:type="dxa"/>
            <w:vAlign w:val="center"/>
          </w:tcPr>
          <w:p w14:paraId="31E7FB27">
            <w:pPr>
              <w:wordWrap w:val="0"/>
              <w:spacing w:line="440" w:lineRule="exact"/>
              <w:jc w:val="left"/>
              <w:rPr>
                <w:rFonts w:ascii="宋体" w:hAnsi="宋体" w:eastAsia="宋体" w:cs="宋体"/>
                <w:b/>
                <w:color w:val="auto"/>
                <w:sz w:val="24"/>
                <w:szCs w:val="24"/>
                <w:highlight w:val="none"/>
              </w:rPr>
            </w:pPr>
            <w:r>
              <w:rPr>
                <w:rFonts w:hint="eastAsia" w:ascii="宋体" w:hAnsi="宋体" w:eastAsia="宋体"/>
                <w:color w:val="auto"/>
                <w:sz w:val="24"/>
                <w:szCs w:val="24"/>
                <w:highlight w:val="none"/>
              </w:rPr>
              <w:t>免收</w:t>
            </w:r>
          </w:p>
        </w:tc>
      </w:tr>
      <w:tr w14:paraId="3444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004" w:type="dxa"/>
            <w:vAlign w:val="center"/>
          </w:tcPr>
          <w:p w14:paraId="6AD0D7F2">
            <w:pPr>
              <w:tabs>
                <w:tab w:val="left" w:pos="0"/>
              </w:tabs>
              <w:wordWrap w:val="0"/>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13.7</w:t>
            </w:r>
          </w:p>
        </w:tc>
        <w:tc>
          <w:tcPr>
            <w:tcW w:w="2025" w:type="dxa"/>
            <w:vAlign w:val="center"/>
          </w:tcPr>
          <w:p w14:paraId="034E90F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其他不予退还磋商保证金的情形</w:t>
            </w:r>
          </w:p>
        </w:tc>
        <w:tc>
          <w:tcPr>
            <w:tcW w:w="5466" w:type="dxa"/>
            <w:vAlign w:val="center"/>
          </w:tcPr>
          <w:p w14:paraId="26F44D0B">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b w:val="0"/>
                <w:bCs w:val="0"/>
                <w:color w:val="auto"/>
                <w:sz w:val="24"/>
                <w:szCs w:val="24"/>
                <w:highlight w:val="none"/>
              </w:rPr>
              <w:t>除因不可抗力或磋商文件认可的情形以外，成交供应商放弃成交资格的</w:t>
            </w:r>
            <w:r>
              <w:rPr>
                <w:rFonts w:hint="eastAsia" w:ascii="宋体" w:hAnsi="宋体" w:eastAsia="宋体" w:cs="宋体"/>
                <w:b w:val="0"/>
                <w:bCs w:val="0"/>
                <w:color w:val="auto"/>
                <w:sz w:val="24"/>
                <w:szCs w:val="24"/>
                <w:highlight w:val="none"/>
              </w:rPr>
              <w:t>。</w:t>
            </w:r>
          </w:p>
        </w:tc>
      </w:tr>
      <w:tr w14:paraId="4BF2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1C5A04A">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14.1</w:t>
            </w:r>
          </w:p>
        </w:tc>
        <w:tc>
          <w:tcPr>
            <w:tcW w:w="2025" w:type="dxa"/>
            <w:vAlign w:val="center"/>
          </w:tcPr>
          <w:p w14:paraId="6505C542">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磋商有效期</w:t>
            </w:r>
          </w:p>
        </w:tc>
        <w:tc>
          <w:tcPr>
            <w:tcW w:w="5466" w:type="dxa"/>
            <w:vAlign w:val="center"/>
          </w:tcPr>
          <w:p w14:paraId="3ADBBF09">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120 </w:t>
            </w:r>
            <w:r>
              <w:rPr>
                <w:rFonts w:hint="eastAsia" w:ascii="宋体" w:hAnsi="宋体" w:eastAsia="宋体" w:cs="宋体"/>
                <w:b w:val="0"/>
                <w:color w:val="auto"/>
                <w:sz w:val="24"/>
                <w:szCs w:val="24"/>
                <w:highlight w:val="none"/>
              </w:rPr>
              <w:t>日历日</w:t>
            </w:r>
          </w:p>
        </w:tc>
      </w:tr>
      <w:tr w14:paraId="158A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7E3F7F2">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w:t>
            </w:r>
          </w:p>
        </w:tc>
        <w:tc>
          <w:tcPr>
            <w:tcW w:w="2025" w:type="dxa"/>
            <w:vAlign w:val="center"/>
          </w:tcPr>
          <w:p w14:paraId="38D2D3CE">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响应文件要求</w:t>
            </w:r>
          </w:p>
        </w:tc>
        <w:tc>
          <w:tcPr>
            <w:tcW w:w="5466" w:type="dxa"/>
            <w:vAlign w:val="center"/>
          </w:tcPr>
          <w:p w14:paraId="6C241E80">
            <w:pPr>
              <w:snapToGrid w:val="0"/>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sym w:font="Wingdings 2" w:char="0052"/>
            </w:r>
            <w:r>
              <w:rPr>
                <w:rFonts w:hint="eastAsia" w:asciiTheme="minorEastAsia" w:hAnsiTheme="minorEastAsia" w:eastAsiaTheme="minorEastAsia" w:cstheme="minorEastAsia"/>
                <w:b/>
                <w:color w:val="auto"/>
                <w:sz w:val="24"/>
                <w:szCs w:val="24"/>
                <w:highlight w:val="none"/>
              </w:rPr>
              <w:t>适用于非全流程电子化采购：</w:t>
            </w:r>
          </w:p>
          <w:p w14:paraId="42E0C155">
            <w:pPr>
              <w:snapToGrid w:val="0"/>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（1）份数要求：响应文件正本</w:t>
            </w:r>
            <w:r>
              <w:rPr>
                <w:rFonts w:hint="eastAsia" w:asciiTheme="minorEastAsia" w:hAnsiTheme="minorEastAsia" w:eastAsiaTheme="minorEastAsia" w:cstheme="minorEastAsia"/>
                <w:b/>
                <w:color w:val="auto"/>
                <w:sz w:val="24"/>
                <w:szCs w:val="24"/>
                <w:highlight w:val="none"/>
                <w:u w:val="single"/>
              </w:rPr>
              <w:t xml:space="preserve"> 壹 </w:t>
            </w:r>
            <w:r>
              <w:rPr>
                <w:rFonts w:hint="eastAsia" w:asciiTheme="minorEastAsia" w:hAnsiTheme="minorEastAsia" w:eastAsiaTheme="minorEastAsia" w:cstheme="minorEastAsia"/>
                <w:b/>
                <w:color w:val="auto"/>
                <w:sz w:val="24"/>
                <w:szCs w:val="24"/>
                <w:highlight w:val="none"/>
              </w:rPr>
              <w:t>份，副本</w:t>
            </w:r>
            <w:r>
              <w:rPr>
                <w:rFonts w:hint="eastAsia" w:asciiTheme="minorEastAsia" w:hAnsiTheme="minorEastAsia" w:eastAsiaTheme="minorEastAsia" w:cstheme="minorEastAsia"/>
                <w:b/>
                <w:color w:val="auto"/>
                <w:sz w:val="24"/>
                <w:szCs w:val="24"/>
                <w:highlight w:val="none"/>
                <w:u w:val="single"/>
              </w:rPr>
              <w:t xml:space="preserve"> 贰 </w:t>
            </w:r>
            <w:r>
              <w:rPr>
                <w:rFonts w:hint="eastAsia" w:asciiTheme="minorEastAsia" w:hAnsiTheme="minorEastAsia" w:eastAsiaTheme="minorEastAsia" w:cstheme="minorEastAsia"/>
                <w:b/>
                <w:color w:val="auto"/>
                <w:sz w:val="24"/>
                <w:szCs w:val="24"/>
                <w:highlight w:val="none"/>
              </w:rPr>
              <w:t>份，并应在响应文件封面的右上角清楚地注明“正本”或“副本”。正本和副本如有不一致之处，以正本为准。</w:t>
            </w:r>
          </w:p>
          <w:p w14:paraId="03C25725">
            <w:pPr>
              <w:adjustRightInd w:val="0"/>
              <w:snapToGrid w:val="0"/>
              <w:spacing w:line="360" w:lineRule="auto"/>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（2）需提供电子版响应文件：电子文档</w:t>
            </w:r>
            <w:r>
              <w:rPr>
                <w:rFonts w:hint="eastAsia" w:asciiTheme="minorEastAsia" w:hAnsiTheme="minorEastAsia" w:eastAsiaTheme="minorEastAsia" w:cstheme="minorEastAsia"/>
                <w:b/>
                <w:color w:val="auto"/>
                <w:sz w:val="24"/>
                <w:szCs w:val="24"/>
                <w:highlight w:val="none"/>
                <w:u w:val="single"/>
              </w:rPr>
              <w:t xml:space="preserve"> 壹 </w:t>
            </w:r>
            <w:r>
              <w:rPr>
                <w:rFonts w:hint="eastAsia" w:asciiTheme="minorEastAsia" w:hAnsiTheme="minorEastAsia" w:eastAsiaTheme="minorEastAsia" w:cstheme="minorEastAsia"/>
                <w:b/>
                <w:color w:val="auto"/>
                <w:sz w:val="24"/>
                <w:szCs w:val="24"/>
                <w:highlight w:val="none"/>
              </w:rPr>
              <w:t>份（U盘，随响应文件封装，电子文档为Word版文件和带有公章的正本扫描件电子PDF文件）。所提交的电子资料（U盘）应能正常读出，响应文件电子版仅作为存档使用，不作为否决条款，内容要求与纸质版文件一致。</w:t>
            </w:r>
          </w:p>
          <w:p w14:paraId="52F699BC">
            <w:pPr>
              <w:adjustRightInd w:val="0"/>
              <w:snapToGrid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（3）密封要求：响应文件按采购文件要求加盖单位公章，装订成册，可以分册装订。响应文件应密封包装，并在封面上注明：</w:t>
            </w:r>
          </w:p>
          <w:p w14:paraId="6EB5EAD5">
            <w:pPr>
              <w:adjustRightInd w:val="0"/>
              <w:snapToGrid w:val="0"/>
              <w:spacing w:line="360" w:lineRule="auto"/>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color w:val="auto"/>
                <w:sz w:val="24"/>
                <w:szCs w:val="24"/>
                <w:highlight w:val="none"/>
                <w:u w:val="single"/>
              </w:rPr>
              <w:t xml:space="preserve">                           </w:t>
            </w:r>
          </w:p>
          <w:p w14:paraId="3C66DF5E">
            <w:pPr>
              <w:adjustRightInd w:val="0"/>
              <w:snapToGrid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1EFD8DF0">
            <w:pPr>
              <w:adjustRightInd w:val="0"/>
              <w:snapToGrid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p>
          <w:p w14:paraId="77FC7A48">
            <w:pPr>
              <w:wordWrap w:val="0"/>
              <w:spacing w:line="440" w:lineRule="exact"/>
              <w:jc w:val="left"/>
              <w:rPr>
                <w:rFonts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szCs w:val="24"/>
                <w:highlight w:val="none"/>
              </w:rPr>
              <w:t>封口处注明：“</w:t>
            </w:r>
            <w:r>
              <w:rPr>
                <w:rFonts w:hint="eastAsia" w:asciiTheme="minorEastAsia" w:hAnsiTheme="minorEastAsia" w:eastAsiaTheme="minorEastAsia" w:cstheme="minorEastAsia"/>
                <w:color w:val="auto"/>
                <w:sz w:val="24"/>
                <w:szCs w:val="24"/>
                <w:highlight w:val="none"/>
                <w:u w:val="single"/>
              </w:rPr>
              <w:t xml:space="preserve">   年  月  日   </w:t>
            </w:r>
            <w:r>
              <w:rPr>
                <w:rFonts w:hint="eastAsia" w:asciiTheme="minorEastAsia" w:hAnsiTheme="minorEastAsia" w:eastAsiaTheme="minorEastAsia" w:cstheme="minorEastAsia"/>
                <w:color w:val="auto"/>
                <w:sz w:val="24"/>
                <w:szCs w:val="24"/>
                <w:highlight w:val="none"/>
              </w:rPr>
              <w:t>时前不得启封”字样并加盖公章。</w:t>
            </w:r>
          </w:p>
        </w:tc>
      </w:tr>
      <w:tr w14:paraId="7C6B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5127962">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15.3</w:t>
            </w:r>
          </w:p>
        </w:tc>
        <w:tc>
          <w:tcPr>
            <w:tcW w:w="2025" w:type="dxa"/>
            <w:vAlign w:val="center"/>
          </w:tcPr>
          <w:p w14:paraId="46829A7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磋商现场提交的其他材料要求</w:t>
            </w:r>
          </w:p>
        </w:tc>
        <w:tc>
          <w:tcPr>
            <w:tcW w:w="5466" w:type="dxa"/>
            <w:vAlign w:val="center"/>
          </w:tcPr>
          <w:p w14:paraId="0E8AF2E4">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u w:val="single"/>
              </w:rPr>
              <w:t xml:space="preserve">   /   </w:t>
            </w:r>
          </w:p>
        </w:tc>
      </w:tr>
      <w:tr w14:paraId="6E61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E3BD10B">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w:t>
            </w:r>
          </w:p>
        </w:tc>
        <w:tc>
          <w:tcPr>
            <w:tcW w:w="2025" w:type="dxa"/>
            <w:vAlign w:val="center"/>
          </w:tcPr>
          <w:p w14:paraId="10A97B8C">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响应文件提交截止时间和地点</w:t>
            </w:r>
          </w:p>
        </w:tc>
        <w:tc>
          <w:tcPr>
            <w:tcW w:w="5466" w:type="dxa"/>
            <w:vAlign w:val="center"/>
          </w:tcPr>
          <w:p w14:paraId="2A05B3C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详见磋商公告</w:t>
            </w:r>
          </w:p>
        </w:tc>
      </w:tr>
      <w:tr w14:paraId="0415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00C1D5C">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17.3</w:t>
            </w:r>
          </w:p>
        </w:tc>
        <w:tc>
          <w:tcPr>
            <w:tcW w:w="2025" w:type="dxa"/>
            <w:vAlign w:val="center"/>
          </w:tcPr>
          <w:p w14:paraId="35471AAB">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开启程序</w:t>
            </w:r>
          </w:p>
        </w:tc>
        <w:tc>
          <w:tcPr>
            <w:tcW w:w="5466" w:type="dxa"/>
            <w:vAlign w:val="center"/>
          </w:tcPr>
          <w:p w14:paraId="51F61F6F">
            <w:pPr>
              <w:pStyle w:val="61"/>
              <w:snapToGrid w:val="0"/>
              <w:spacing w:line="360" w:lineRule="auto"/>
              <w:jc w:val="left"/>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sym w:font="Wingdings 2" w:char="0052"/>
            </w:r>
            <w:r>
              <w:rPr>
                <w:rFonts w:hint="eastAsia" w:asciiTheme="minorEastAsia" w:hAnsiTheme="minorEastAsia" w:eastAsiaTheme="minorEastAsia" w:cstheme="minorEastAsia"/>
                <w:b/>
                <w:color w:val="auto"/>
                <w:szCs w:val="24"/>
                <w:highlight w:val="none"/>
              </w:rPr>
              <w:t>适用于非全流程电子化采购：</w:t>
            </w:r>
          </w:p>
          <w:p w14:paraId="3FE06F98">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（1）宣布开启会议纪律；</w:t>
            </w:r>
          </w:p>
          <w:p w14:paraId="6730BD17">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（2）检查确认响应文件的密封（加密）情况；</w:t>
            </w:r>
          </w:p>
          <w:p w14:paraId="7B084CC4">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（3）按照供应商签到顺序开启响应文件；</w:t>
            </w:r>
          </w:p>
          <w:p w14:paraId="2DA62DF2">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bCs/>
                <w:snapToGrid w:val="0"/>
                <w:color w:val="auto"/>
                <w:szCs w:val="24"/>
                <w:highlight w:val="none"/>
              </w:rPr>
              <w:sym w:font="Wingdings 2" w:char="0052"/>
            </w:r>
            <w:r>
              <w:rPr>
                <w:rFonts w:hint="eastAsia" w:asciiTheme="minorEastAsia" w:hAnsiTheme="minorEastAsia" w:eastAsiaTheme="minorEastAsia" w:cstheme="minorEastAsia"/>
                <w:color w:val="auto"/>
                <w:highlight w:val="none"/>
              </w:rPr>
              <w:t>公布供应商名称、标段（包别）名称及其他内容；</w:t>
            </w:r>
          </w:p>
          <w:p w14:paraId="0DE41B55">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u w:val="single"/>
              </w:rPr>
            </w:pPr>
            <w:r>
              <w:rPr>
                <w:rFonts w:hint="eastAsia" w:asciiTheme="minorEastAsia" w:hAnsiTheme="minorEastAsia" w:eastAsiaTheme="minorEastAsia" w:cstheme="minorEastAsia"/>
                <w:b w:val="0"/>
                <w:bCs w:val="0"/>
                <w:color w:val="auto"/>
                <w:kern w:val="2"/>
                <w:sz w:val="24"/>
                <w:szCs w:val="21"/>
                <w:highlight w:val="none"/>
              </w:rPr>
              <w:t>（5）开启结束。</w:t>
            </w:r>
          </w:p>
        </w:tc>
      </w:tr>
      <w:tr w14:paraId="6811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1ABAC25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w:t>
            </w:r>
          </w:p>
        </w:tc>
        <w:tc>
          <w:tcPr>
            <w:tcW w:w="2025" w:type="dxa"/>
            <w:vAlign w:val="center"/>
          </w:tcPr>
          <w:p w14:paraId="589B1C60">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磋商时间</w:t>
            </w:r>
          </w:p>
        </w:tc>
        <w:tc>
          <w:tcPr>
            <w:tcW w:w="5466" w:type="dxa"/>
            <w:vAlign w:val="center"/>
          </w:tcPr>
          <w:p w14:paraId="0733F900">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同响应文件开启时间</w:t>
            </w:r>
          </w:p>
        </w:tc>
      </w:tr>
      <w:tr w14:paraId="0A0F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2668F09A">
            <w:pPr>
              <w:pStyle w:val="34"/>
              <w:pBdr>
                <w:bottom w:val="none" w:color="auto" w:sz="0" w:space="0"/>
              </w:pBdr>
              <w:tabs>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p>
        </w:tc>
        <w:tc>
          <w:tcPr>
            <w:tcW w:w="2025" w:type="dxa"/>
            <w:vAlign w:val="center"/>
          </w:tcPr>
          <w:p w14:paraId="7EDD5E2B">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磋商地点</w:t>
            </w:r>
          </w:p>
        </w:tc>
        <w:tc>
          <w:tcPr>
            <w:tcW w:w="5466" w:type="dxa"/>
            <w:vAlign w:val="center"/>
          </w:tcPr>
          <w:p w14:paraId="2E1C0A2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同响应文件开启地点</w:t>
            </w:r>
          </w:p>
        </w:tc>
      </w:tr>
      <w:tr w14:paraId="62C4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8F164C9">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19.2</w:t>
            </w:r>
          </w:p>
        </w:tc>
        <w:tc>
          <w:tcPr>
            <w:tcW w:w="2025" w:type="dxa"/>
            <w:vAlign w:val="center"/>
          </w:tcPr>
          <w:p w14:paraId="278EEA9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评审方法</w:t>
            </w:r>
          </w:p>
        </w:tc>
        <w:tc>
          <w:tcPr>
            <w:tcW w:w="5466" w:type="dxa"/>
            <w:vAlign w:val="center"/>
          </w:tcPr>
          <w:p w14:paraId="3039991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综合评分法</w:t>
            </w:r>
          </w:p>
        </w:tc>
      </w:tr>
      <w:tr w14:paraId="7C31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AD5786F">
            <w:pPr>
              <w:tabs>
                <w:tab w:val="left" w:pos="0"/>
              </w:tabs>
              <w:wordWrap w:val="0"/>
              <w:spacing w:line="44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22.1</w:t>
            </w:r>
          </w:p>
        </w:tc>
        <w:tc>
          <w:tcPr>
            <w:tcW w:w="2025" w:type="dxa"/>
            <w:vAlign w:val="center"/>
          </w:tcPr>
          <w:p w14:paraId="6960C1B5">
            <w:pPr>
              <w:pStyle w:val="33"/>
              <w:widowControl w:val="0"/>
              <w:wordWrap w:val="0"/>
              <w:spacing w:before="0" w:beforeAutospacing="0" w:after="0" w:afterAutospacing="0" w:line="440" w:lineRule="exact"/>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最终报价</w:t>
            </w:r>
          </w:p>
        </w:tc>
        <w:tc>
          <w:tcPr>
            <w:tcW w:w="5466" w:type="dxa"/>
            <w:vAlign w:val="center"/>
          </w:tcPr>
          <w:p w14:paraId="59CE0C2C">
            <w:pPr>
              <w:pStyle w:val="33"/>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bCs w:val="0"/>
                <w:color w:val="auto"/>
                <w:sz w:val="24"/>
                <w:szCs w:val="24"/>
                <w:highlight w:val="none"/>
              </w:rPr>
              <w:t>本项目无多轮报价环节，供应商初次报价即为最终响应报价</w:t>
            </w:r>
          </w:p>
        </w:tc>
      </w:tr>
      <w:tr w14:paraId="1D1B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614ECF8F">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24.1</w:t>
            </w:r>
          </w:p>
        </w:tc>
        <w:tc>
          <w:tcPr>
            <w:tcW w:w="2025" w:type="dxa"/>
            <w:vMerge w:val="restart"/>
            <w:vAlign w:val="center"/>
          </w:tcPr>
          <w:p w14:paraId="37F6897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确定成交候选供应商和成交供应商</w:t>
            </w:r>
          </w:p>
        </w:tc>
        <w:tc>
          <w:tcPr>
            <w:tcW w:w="5466" w:type="dxa"/>
            <w:vAlign w:val="center"/>
          </w:tcPr>
          <w:p w14:paraId="4FA37388">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 xml:space="preserve">磋商小组推荐成交候选供应商的数量：1-3家 </w:t>
            </w:r>
          </w:p>
        </w:tc>
      </w:tr>
      <w:tr w14:paraId="12B1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0DF38C5A">
            <w:pPr>
              <w:pStyle w:val="34"/>
              <w:pBdr>
                <w:bottom w:val="none" w:color="auto" w:sz="0" w:space="0"/>
              </w:pBdr>
              <w:tabs>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p>
        </w:tc>
        <w:tc>
          <w:tcPr>
            <w:tcW w:w="2025" w:type="dxa"/>
            <w:vMerge w:val="continue"/>
            <w:vAlign w:val="center"/>
          </w:tcPr>
          <w:p w14:paraId="6EC8C829">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p>
        </w:tc>
        <w:tc>
          <w:tcPr>
            <w:tcW w:w="5466" w:type="dxa"/>
            <w:vAlign w:val="center"/>
          </w:tcPr>
          <w:p w14:paraId="2B90AC55">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确定成交供应商：</w:t>
            </w:r>
          </w:p>
          <w:p w14:paraId="571DA44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采购人委托磋商小组确定     □采购人确定</w:t>
            </w:r>
          </w:p>
        </w:tc>
      </w:tr>
      <w:tr w14:paraId="2EA3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00888E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27.2</w:t>
            </w:r>
          </w:p>
        </w:tc>
        <w:tc>
          <w:tcPr>
            <w:tcW w:w="2025" w:type="dxa"/>
            <w:vAlign w:val="center"/>
          </w:tcPr>
          <w:p w14:paraId="30D03AD7">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随成交结果公告同时公告的内容</w:t>
            </w:r>
          </w:p>
        </w:tc>
        <w:tc>
          <w:tcPr>
            <w:tcW w:w="5466" w:type="dxa"/>
            <w:vAlign w:val="center"/>
          </w:tcPr>
          <w:p w14:paraId="2BB78A95">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无</w:t>
            </w:r>
          </w:p>
        </w:tc>
      </w:tr>
      <w:tr w14:paraId="0901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FF0F04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30.1</w:t>
            </w:r>
          </w:p>
        </w:tc>
        <w:tc>
          <w:tcPr>
            <w:tcW w:w="2025" w:type="dxa"/>
            <w:vAlign w:val="center"/>
          </w:tcPr>
          <w:p w14:paraId="603DCF1F">
            <w:pPr>
              <w:pStyle w:val="33"/>
              <w:widowControl w:val="0"/>
              <w:wordWrap w:val="0"/>
              <w:spacing w:before="0" w:beforeAutospacing="0" w:after="0" w:afterAutospacing="0" w:line="440" w:lineRule="exact"/>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5466" w:type="dxa"/>
            <w:vAlign w:val="center"/>
          </w:tcPr>
          <w:p w14:paraId="05C65680">
            <w:pPr>
              <w:pStyle w:val="33"/>
              <w:widowControl w:val="0"/>
              <w:wordWrap w:val="0"/>
              <w:spacing w:before="0" w:beforeAutospacing="0" w:after="0" w:afterAutospacing="0" w:line="440" w:lineRule="exact"/>
              <w:jc w:val="both"/>
              <w:rPr>
                <w:rFonts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免收</w:t>
            </w:r>
          </w:p>
        </w:tc>
      </w:tr>
      <w:tr w14:paraId="7576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192679A">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31.1</w:t>
            </w:r>
          </w:p>
        </w:tc>
        <w:tc>
          <w:tcPr>
            <w:tcW w:w="2025" w:type="dxa"/>
            <w:vAlign w:val="center"/>
          </w:tcPr>
          <w:p w14:paraId="1ABBDA88">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采购代理服务费</w:t>
            </w:r>
          </w:p>
        </w:tc>
        <w:tc>
          <w:tcPr>
            <w:tcW w:w="5466" w:type="dxa"/>
            <w:vAlign w:val="center"/>
          </w:tcPr>
          <w:p w14:paraId="68399E1B">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成交服务费由成交供应商支付，本项目固定金额收取3</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00元。</w:t>
            </w:r>
          </w:p>
          <w:p w14:paraId="2DAED12A">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采购代理服务费收取账户信息如下：</w:t>
            </w:r>
          </w:p>
          <w:p w14:paraId="2F4F1DF1">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账户名称：鼎信数智技术集团股份有限公司</w:t>
            </w:r>
          </w:p>
          <w:p w14:paraId="1B7081F5">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银行账号：1302010519200219520</w:t>
            </w:r>
          </w:p>
          <w:p w14:paraId="07DB7CEC">
            <w:pPr>
              <w:wordWrap w:val="0"/>
              <w:spacing w:line="440" w:lineRule="exact"/>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kern w:val="0"/>
                <w:sz w:val="24"/>
                <w:szCs w:val="24"/>
                <w:highlight w:val="none"/>
              </w:rPr>
              <w:t>中国工商银行股份有限公司合肥包河支行</w:t>
            </w:r>
          </w:p>
        </w:tc>
      </w:tr>
      <w:tr w14:paraId="55E4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02D6A99">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34.2</w:t>
            </w:r>
          </w:p>
        </w:tc>
        <w:tc>
          <w:tcPr>
            <w:tcW w:w="2025" w:type="dxa"/>
            <w:vAlign w:val="center"/>
          </w:tcPr>
          <w:p w14:paraId="4C910EC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质疑期</w:t>
            </w:r>
          </w:p>
        </w:tc>
        <w:tc>
          <w:tcPr>
            <w:tcW w:w="5466" w:type="dxa"/>
            <w:vAlign w:val="center"/>
          </w:tcPr>
          <w:p w14:paraId="0947C03A">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1.对磋商文件的质疑：获取磋商文件时间内；</w:t>
            </w:r>
          </w:p>
          <w:p w14:paraId="5E93A9C7">
            <w:pPr>
              <w:pStyle w:val="33"/>
              <w:widowControl w:val="0"/>
              <w:wordWrap w:val="0"/>
              <w:spacing w:before="0" w:beforeAutospacing="0" w:after="0" w:afterAutospacing="0" w:line="440" w:lineRule="exact"/>
              <w:jc w:val="left"/>
              <w:rPr>
                <w:rFonts w:ascii="Arial" w:hAnsi="Arial" w:eastAsia="宋体" w:cs="Arial"/>
                <w:b w:val="0"/>
                <w:color w:val="auto"/>
                <w:sz w:val="24"/>
                <w:highlight w:val="none"/>
              </w:rPr>
            </w:pPr>
            <w:r>
              <w:rPr>
                <w:rFonts w:hint="eastAsia" w:ascii="Arial" w:hAnsi="Arial" w:eastAsia="宋体" w:cs="Arial"/>
                <w:b w:val="0"/>
                <w:color w:val="auto"/>
                <w:sz w:val="24"/>
                <w:highlight w:val="none"/>
              </w:rPr>
              <w:t>2.对采购过程的质疑：相应采购程序环节结束之日起3日内；</w:t>
            </w:r>
          </w:p>
          <w:p w14:paraId="6CE54FF3">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3.对成交结果的质疑：成交结果公告发出之日起3日内。</w:t>
            </w:r>
          </w:p>
        </w:tc>
      </w:tr>
      <w:tr w14:paraId="07A3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AA56A8A">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34.3</w:t>
            </w:r>
          </w:p>
        </w:tc>
        <w:tc>
          <w:tcPr>
            <w:tcW w:w="2025" w:type="dxa"/>
            <w:vAlign w:val="center"/>
          </w:tcPr>
          <w:p w14:paraId="4A19F577">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质疑函提交方式、接收部门、联系电话和通讯地址</w:t>
            </w:r>
          </w:p>
        </w:tc>
        <w:tc>
          <w:tcPr>
            <w:tcW w:w="5466" w:type="dxa"/>
            <w:vAlign w:val="center"/>
          </w:tcPr>
          <w:p w14:paraId="193F0CCC">
            <w:pPr>
              <w:pStyle w:val="3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提交方式：</w:t>
            </w:r>
            <w:r>
              <w:rPr>
                <w:rFonts w:hint="eastAsia" w:ascii="宋体" w:hAnsi="宋体" w:eastAsia="宋体"/>
                <w:b w:val="0"/>
                <w:color w:val="auto"/>
                <w:sz w:val="24"/>
                <w:highlight w:val="none"/>
                <w:u w:val="single"/>
              </w:rPr>
              <w:t>书面形式</w:t>
            </w:r>
          </w:p>
          <w:p w14:paraId="16C2DC55">
            <w:pPr>
              <w:pStyle w:val="33"/>
              <w:widowControl w:val="0"/>
              <w:spacing w:before="0" w:beforeAutospacing="0" w:after="0" w:afterAutospacing="0" w:line="360" w:lineRule="auto"/>
              <w:jc w:val="left"/>
              <w:rPr>
                <w:rFonts w:ascii="宋体" w:hAnsi="宋体" w:eastAsia="宋体" w:cs="宋体"/>
                <w:b w:val="0"/>
                <w:bCs w:val="0"/>
                <w:color w:val="auto"/>
                <w:sz w:val="24"/>
                <w:szCs w:val="18"/>
                <w:highlight w:val="none"/>
                <w:u w:val="single"/>
              </w:rPr>
            </w:pPr>
            <w:r>
              <w:rPr>
                <w:rFonts w:hint="eastAsia" w:ascii="宋体" w:hAnsi="宋体" w:eastAsia="宋体"/>
                <w:b w:val="0"/>
                <w:color w:val="auto"/>
                <w:sz w:val="24"/>
                <w:highlight w:val="none"/>
              </w:rPr>
              <w:t>接收部门：</w:t>
            </w:r>
            <w:r>
              <w:rPr>
                <w:rFonts w:hint="eastAsia" w:ascii="宋体" w:hAnsi="宋体" w:eastAsia="宋体" w:cs="宋体"/>
                <w:b w:val="0"/>
                <w:color w:val="auto"/>
                <w:sz w:val="24"/>
                <w:highlight w:val="none"/>
                <w:u w:val="single"/>
              </w:rPr>
              <w:t>鼎信数智技术集团股份有限公司</w:t>
            </w:r>
            <w:r>
              <w:rPr>
                <w:rFonts w:hint="eastAsia" w:ascii="宋体" w:hAnsi="宋体" w:eastAsia="宋体" w:cs="宋体"/>
                <w:b w:val="0"/>
                <w:bCs w:val="0"/>
                <w:color w:val="auto"/>
                <w:sz w:val="24"/>
                <w:szCs w:val="18"/>
                <w:highlight w:val="none"/>
                <w:u w:val="single"/>
              </w:rPr>
              <w:t xml:space="preserve"> </w:t>
            </w:r>
          </w:p>
          <w:p w14:paraId="045CBF3B">
            <w:pPr>
              <w:pStyle w:val="33"/>
              <w:widowControl w:val="0"/>
              <w:spacing w:before="0" w:beforeAutospacing="0" w:after="0" w:afterAutospacing="0" w:line="360" w:lineRule="auto"/>
              <w:jc w:val="left"/>
              <w:rPr>
                <w:rFonts w:ascii="宋体" w:hAnsi="宋体" w:eastAsia="宋体" w:cs="宋体"/>
                <w:b w:val="0"/>
                <w:bCs w:val="0"/>
                <w:color w:val="auto"/>
                <w:sz w:val="24"/>
                <w:szCs w:val="18"/>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rPr>
              <w:t>18226628215</w:t>
            </w:r>
          </w:p>
          <w:p w14:paraId="792D327D">
            <w:pPr>
              <w:pStyle w:val="33"/>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电子邮箱：</w:t>
            </w:r>
            <w:r>
              <w:rPr>
                <w:rFonts w:hint="eastAsia" w:ascii="宋体" w:hAnsi="宋体" w:eastAsia="宋体" w:cs="宋体"/>
                <w:b w:val="0"/>
                <w:bCs w:val="0"/>
                <w:color w:val="auto"/>
                <w:sz w:val="24"/>
                <w:szCs w:val="18"/>
                <w:highlight w:val="none"/>
                <w:u w:val="single"/>
              </w:rPr>
              <w:t xml:space="preserve">450640644@qq.com  </w:t>
            </w:r>
          </w:p>
          <w:p w14:paraId="0F79E9C4">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rPr>
              <w:t>合肥市经济技术开发区翡翠路188号港澳广场A座18层1802 室</w:t>
            </w:r>
            <w:r>
              <w:rPr>
                <w:rFonts w:ascii="宋体" w:hAnsi="宋体" w:eastAsia="宋体"/>
                <w:b w:val="0"/>
                <w:bCs w:val="0"/>
                <w:color w:val="auto"/>
                <w:sz w:val="24"/>
                <w:szCs w:val="18"/>
                <w:highlight w:val="none"/>
                <w:u w:val="single"/>
              </w:rPr>
              <w:t xml:space="preserve"> </w:t>
            </w:r>
            <w:r>
              <w:rPr>
                <w:rFonts w:hint="eastAsia" w:ascii="宋体" w:hAnsi="宋体" w:eastAsia="宋体" w:cs="宋体"/>
                <w:b w:val="0"/>
                <w:bCs w:val="0"/>
                <w:color w:val="auto"/>
                <w:sz w:val="24"/>
                <w:szCs w:val="24"/>
                <w:highlight w:val="none"/>
                <w:u w:val="single"/>
              </w:rPr>
              <w:t xml:space="preserve"> </w:t>
            </w:r>
          </w:p>
        </w:tc>
      </w:tr>
      <w:tr w14:paraId="1919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E656395">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35</w:t>
            </w:r>
          </w:p>
        </w:tc>
        <w:tc>
          <w:tcPr>
            <w:tcW w:w="2025" w:type="dxa"/>
            <w:vAlign w:val="center"/>
          </w:tcPr>
          <w:p w14:paraId="6F433ADD">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其他内容</w:t>
            </w:r>
          </w:p>
        </w:tc>
        <w:tc>
          <w:tcPr>
            <w:tcW w:w="5466" w:type="dxa"/>
            <w:vAlign w:val="center"/>
          </w:tcPr>
          <w:p w14:paraId="79D3C2DC">
            <w:pPr>
              <w:pStyle w:val="33"/>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w:t>
            </w:r>
          </w:p>
        </w:tc>
      </w:tr>
      <w:tr w14:paraId="2824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578A73C">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35.1</w:t>
            </w:r>
          </w:p>
        </w:tc>
        <w:tc>
          <w:tcPr>
            <w:tcW w:w="2025" w:type="dxa"/>
            <w:vAlign w:val="center"/>
          </w:tcPr>
          <w:p w14:paraId="10D02A53">
            <w:pPr>
              <w:pStyle w:val="33"/>
              <w:widowControl w:val="0"/>
              <w:wordWrap w:val="0"/>
              <w:spacing w:before="0" w:beforeAutospacing="0" w:after="0" w:afterAutospacing="0" w:line="440" w:lineRule="exact"/>
              <w:rPr>
                <w:rFonts w:ascii="宋体" w:hAnsi="宋体" w:eastAsia="宋体"/>
                <w:b w:val="0"/>
                <w:color w:val="auto"/>
                <w:sz w:val="24"/>
                <w:highlight w:val="none"/>
              </w:rPr>
            </w:pPr>
            <w:r>
              <w:rPr>
                <w:rFonts w:hint="eastAsia" w:ascii="宋体" w:hAnsi="宋体" w:eastAsia="宋体"/>
                <w:b w:val="0"/>
                <w:color w:val="auto"/>
                <w:sz w:val="24"/>
                <w:highlight w:val="none"/>
              </w:rPr>
              <w:t>关于联合体参加磋商的相关约定</w:t>
            </w:r>
          </w:p>
          <w:p w14:paraId="5F112602">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b w:val="0"/>
                <w:color w:val="auto"/>
                <w:sz w:val="24"/>
                <w:highlight w:val="none"/>
              </w:rPr>
              <w:t>（如有）</w:t>
            </w:r>
          </w:p>
        </w:tc>
        <w:tc>
          <w:tcPr>
            <w:tcW w:w="5466" w:type="dxa"/>
            <w:vAlign w:val="center"/>
          </w:tcPr>
          <w:p w14:paraId="63F8B20E">
            <w:pPr>
              <w:pStyle w:val="33"/>
              <w:widowControl w:val="0"/>
              <w:wordWrap w:val="0"/>
              <w:spacing w:before="0" w:beforeAutospacing="0" w:after="0" w:afterAutospacing="0" w:line="44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联合体参加磋商的须提供</w:t>
            </w:r>
            <w:r>
              <w:rPr>
                <w:rFonts w:hint="eastAsia" w:ascii="宋体" w:hAnsi="宋体" w:eastAsia="宋体"/>
                <w:b w:val="0"/>
                <w:color w:val="auto"/>
                <w:sz w:val="24"/>
                <w:highlight w:val="none"/>
              </w:rPr>
              <w:t>联合协议，相关</w:t>
            </w:r>
            <w:r>
              <w:rPr>
                <w:rFonts w:ascii="宋体" w:hAnsi="宋体" w:eastAsia="宋体"/>
                <w:b w:val="0"/>
                <w:color w:val="auto"/>
                <w:sz w:val="24"/>
                <w:highlight w:val="none"/>
              </w:rPr>
              <w:t>证明材料</w:t>
            </w:r>
            <w:r>
              <w:rPr>
                <w:rFonts w:hint="eastAsia" w:ascii="宋体" w:hAnsi="宋体" w:eastAsia="宋体"/>
                <w:b w:val="0"/>
                <w:color w:val="auto"/>
                <w:sz w:val="24"/>
                <w:highlight w:val="none"/>
              </w:rPr>
              <w:t>由供应商</w:t>
            </w:r>
            <w:r>
              <w:rPr>
                <w:rFonts w:ascii="宋体" w:hAnsi="宋体" w:eastAsia="宋体"/>
                <w:b w:val="0"/>
                <w:color w:val="auto"/>
                <w:sz w:val="24"/>
                <w:highlight w:val="none"/>
              </w:rPr>
              <w:t>根据</w:t>
            </w:r>
            <w:r>
              <w:rPr>
                <w:rFonts w:hint="eastAsia" w:ascii="宋体" w:hAnsi="宋体" w:eastAsia="宋体"/>
                <w:b w:val="0"/>
                <w:color w:val="auto"/>
                <w:sz w:val="24"/>
                <w:highlight w:val="none"/>
              </w:rPr>
              <w:t>联合协议</w:t>
            </w:r>
            <w:r>
              <w:rPr>
                <w:rFonts w:ascii="宋体" w:hAnsi="宋体" w:eastAsia="宋体"/>
                <w:b w:val="0"/>
                <w:color w:val="auto"/>
                <w:sz w:val="24"/>
                <w:highlight w:val="none"/>
              </w:rPr>
              <w:t>分工情况及</w:t>
            </w:r>
            <w:r>
              <w:rPr>
                <w:rFonts w:hint="eastAsia" w:ascii="宋体" w:hAnsi="宋体" w:eastAsia="宋体"/>
                <w:b w:val="0"/>
                <w:color w:val="auto"/>
                <w:sz w:val="24"/>
                <w:highlight w:val="none"/>
              </w:rPr>
              <w:t>磋商</w:t>
            </w:r>
            <w:r>
              <w:rPr>
                <w:rFonts w:ascii="宋体" w:hAnsi="宋体" w:eastAsia="宋体"/>
                <w:b w:val="0"/>
                <w:color w:val="auto"/>
                <w:sz w:val="24"/>
                <w:highlight w:val="none"/>
              </w:rPr>
              <w:t>文件要求提供。</w:t>
            </w:r>
          </w:p>
          <w:p w14:paraId="51E22A36">
            <w:pPr>
              <w:pStyle w:val="33"/>
              <w:widowControl w:val="0"/>
              <w:wordWrap w:val="0"/>
              <w:spacing w:before="0" w:beforeAutospacing="0" w:after="0" w:afterAutospacing="0" w:line="44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2.</w:t>
            </w:r>
            <w:r>
              <w:rPr>
                <w:rFonts w:ascii="宋体" w:hAnsi="宋体" w:eastAsia="宋体"/>
                <w:b w:val="0"/>
                <w:color w:val="auto"/>
                <w:sz w:val="24"/>
                <w:highlight w:val="none"/>
              </w:rPr>
              <w:t>联合体各</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均须提供营业执照</w:t>
            </w:r>
            <w:r>
              <w:rPr>
                <w:rFonts w:hint="eastAsia" w:ascii="宋体" w:hAnsi="宋体" w:eastAsia="宋体"/>
                <w:b w:val="0"/>
                <w:color w:val="auto"/>
                <w:sz w:val="24"/>
                <w:highlight w:val="none"/>
              </w:rPr>
              <w:t>（或事业单位法人登记证书）和磋商有效性声明。</w:t>
            </w:r>
          </w:p>
          <w:p w14:paraId="346B82C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3.联合体参加磋商的，磋商文件获取、磋商保证金缴纳（如有）等建议由联合体牵头单位办理。</w:t>
            </w:r>
          </w:p>
        </w:tc>
      </w:tr>
      <w:tr w14:paraId="0A4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D0A1BCD">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35.2</w:t>
            </w:r>
          </w:p>
        </w:tc>
        <w:tc>
          <w:tcPr>
            <w:tcW w:w="2025" w:type="dxa"/>
            <w:vAlign w:val="center"/>
          </w:tcPr>
          <w:p w14:paraId="612DC057">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社保证明材料</w:t>
            </w:r>
          </w:p>
          <w:p w14:paraId="13A79158">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iCs/>
                <w:color w:val="auto"/>
                <w:sz w:val="24"/>
                <w:szCs w:val="24"/>
                <w:highlight w:val="none"/>
              </w:rPr>
              <w:t>（如有）</w:t>
            </w:r>
          </w:p>
        </w:tc>
        <w:tc>
          <w:tcPr>
            <w:tcW w:w="5466" w:type="dxa"/>
            <w:vAlign w:val="center"/>
          </w:tcPr>
          <w:p w14:paraId="4A5503D2">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本项目磋商文件中要求提供的社保证明材料为下述形式之一（响应文件中须提供扫描件）：</w:t>
            </w:r>
          </w:p>
          <w:p w14:paraId="7F7F8B6D">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1.社保局官方网站查询的缴费记录截图；</w:t>
            </w:r>
          </w:p>
          <w:p w14:paraId="1A81E038">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2.社保局的书面证明材料；</w:t>
            </w:r>
          </w:p>
          <w:p w14:paraId="48A0495C">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3.经供应商委托的第三方人力资源服务机构或与供应商有直接隶属关系的机构可以代缴社保，但须提供有关证明材料并经磋商小组确认。</w:t>
            </w:r>
          </w:p>
          <w:p w14:paraId="22C2601C">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4.参与磋商的院校，社保证明可以用以下任意一种：</w:t>
            </w:r>
          </w:p>
          <w:p w14:paraId="54C8D611">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（1）加盖供应商公章的教师证（须为本单位人员）；</w:t>
            </w:r>
          </w:p>
          <w:p w14:paraId="06522F7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（2）医保证明材料。</w:t>
            </w:r>
          </w:p>
          <w:p w14:paraId="533AAFF7">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5.其他经磋商小组认可的证明材料。</w:t>
            </w:r>
          </w:p>
          <w:p w14:paraId="5CC2A5D9">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6.法定代表人参与项目的，无需提供社保证明材料，提供身份证明材料即可。</w:t>
            </w:r>
          </w:p>
        </w:tc>
      </w:tr>
      <w:tr w14:paraId="2CAD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25F2924">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35.3</w:t>
            </w:r>
          </w:p>
        </w:tc>
        <w:tc>
          <w:tcPr>
            <w:tcW w:w="2025" w:type="dxa"/>
            <w:vAlign w:val="center"/>
          </w:tcPr>
          <w:p w14:paraId="12B0CCF6">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本项目提供除电子版磋商文件以外的其他资料</w:t>
            </w:r>
          </w:p>
        </w:tc>
        <w:tc>
          <w:tcPr>
            <w:tcW w:w="5466" w:type="dxa"/>
            <w:vAlign w:val="center"/>
          </w:tcPr>
          <w:p w14:paraId="7FCB191B">
            <w:pPr>
              <w:wordWrap w:val="0"/>
              <w:spacing w:line="440" w:lineRule="exact"/>
              <w:jc w:val="left"/>
              <w:rPr>
                <w:rFonts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无   □图纸   □光盘   □</w:t>
            </w:r>
            <w:r>
              <w:rPr>
                <w:rFonts w:hint="eastAsia" w:ascii="宋体" w:hAnsi="宋体" w:eastAsia="宋体" w:cs="宋体"/>
                <w:color w:val="auto"/>
                <w:sz w:val="24"/>
                <w:szCs w:val="24"/>
                <w:highlight w:val="none"/>
                <w:u w:val="single"/>
              </w:rPr>
              <w:t xml:space="preserve">  </w:t>
            </w:r>
          </w:p>
          <w:p w14:paraId="2407E5DA">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获取方式：</w:t>
            </w:r>
          </w:p>
          <w:p w14:paraId="677FC151">
            <w:pPr>
              <w:wordWrap w:val="0"/>
              <w:spacing w:line="440" w:lineRule="exact"/>
              <w:jc w:val="left"/>
              <w:rPr>
                <w:rFonts w:ascii="宋体" w:hAnsi="宋体" w:eastAsia="宋体" w:cs="宋体"/>
                <w:i/>
                <w:color w:val="auto"/>
                <w:sz w:val="24"/>
                <w:szCs w:val="24"/>
                <w:highlight w:val="none"/>
              </w:rPr>
            </w:pPr>
            <w:r>
              <w:rPr>
                <w:rFonts w:hint="eastAsia" w:ascii="宋体" w:hAnsi="宋体" w:eastAsia="宋体" w:cs="宋体"/>
                <w:bCs/>
                <w:color w:val="auto"/>
                <w:sz w:val="24"/>
                <w:szCs w:val="24"/>
                <w:highlight w:val="none"/>
              </w:rPr>
              <w:t>上述资料请供应商在获取磋商文件的同时下载本项目附件。</w:t>
            </w:r>
          </w:p>
        </w:tc>
      </w:tr>
      <w:tr w14:paraId="2521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AFE98D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35.4</w:t>
            </w:r>
          </w:p>
        </w:tc>
        <w:tc>
          <w:tcPr>
            <w:tcW w:w="2025" w:type="dxa"/>
            <w:vAlign w:val="center"/>
          </w:tcPr>
          <w:p w14:paraId="0A588A4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重要提示</w:t>
            </w:r>
          </w:p>
        </w:tc>
        <w:tc>
          <w:tcPr>
            <w:tcW w:w="5466" w:type="dxa"/>
            <w:vAlign w:val="center"/>
          </w:tcPr>
          <w:p w14:paraId="4D8F4316">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1.成交供应商应在规定期限内领取《成交通知书》，若成交供应商未在规定期限内领取《成交通知书》，采购人有权取消成交供应商成交资格；</w:t>
            </w:r>
          </w:p>
          <w:p w14:paraId="72C385E8">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2.成交供应商应在规定期限内提交履约担保并与采购人签订合同，若成交供应商未能在规定期限内提交履约担保或签订合同，采购人有权取消成交供应商成交资格；</w:t>
            </w:r>
          </w:p>
          <w:p w14:paraId="2611DA1F">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3.合同签订后，成交供应商存在规定时间内不组织人员进场开工，不履行供货、安装或服务义务等情况，采购人有权解除合同，并追究违约责任；</w:t>
            </w:r>
          </w:p>
          <w:p w14:paraId="47AF34F0">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4.成交供应商成交后被查实存在违法行为，不满足成交条件的，由采购人取消成交资格，并做好项目后续工作；</w:t>
            </w:r>
          </w:p>
          <w:p w14:paraId="123B304E">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5.成交供应商在成交项目发生投诉、信访举报案件、履约存在争议时，拒绝协助配合执法部门调查案件的，采购人可以取消其成交资格或解除合同，并追究其违约责任。</w:t>
            </w:r>
          </w:p>
        </w:tc>
      </w:tr>
      <w:tr w14:paraId="4123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1FCA792">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35.5</w:t>
            </w:r>
          </w:p>
        </w:tc>
        <w:tc>
          <w:tcPr>
            <w:tcW w:w="2025" w:type="dxa"/>
            <w:vAlign w:val="center"/>
          </w:tcPr>
          <w:p w14:paraId="21A5B9A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解释权</w:t>
            </w:r>
          </w:p>
        </w:tc>
        <w:tc>
          <w:tcPr>
            <w:tcW w:w="5466" w:type="dxa"/>
            <w:vAlign w:val="center"/>
          </w:tcPr>
          <w:p w14:paraId="75777B6D">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1468B105">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2.同一组成文件中就同一事项的规定或约定不一致的，除磋商文件另有规定外，以编排顺序在后者为准；</w:t>
            </w:r>
          </w:p>
          <w:p w14:paraId="5F3F8303">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2A36A1F">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4.除磋商文件中有特别规定外，仅适用于磋商及响应文件提交阶段的规定，按磋商公告、供应商须知、评审方法和标准、响应文件格式的先后顺序解释；</w:t>
            </w:r>
          </w:p>
          <w:p w14:paraId="24B190A6">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5.按本款前述规定仍不能形成结论的，由采购人负责解释。</w:t>
            </w:r>
          </w:p>
        </w:tc>
      </w:tr>
    </w:tbl>
    <w:p w14:paraId="7DF8268A">
      <w:pPr>
        <w:wordWrap w:val="0"/>
        <w:spacing w:line="440" w:lineRule="exact"/>
        <w:jc w:val="center"/>
        <w:outlineLvl w:val="2"/>
        <w:rPr>
          <w:rFonts w:ascii="宋体" w:hAnsi="宋体" w:eastAsia="宋体"/>
          <w:b/>
          <w:color w:val="auto"/>
          <w:sz w:val="28"/>
          <w:szCs w:val="28"/>
          <w:highlight w:val="none"/>
        </w:rPr>
      </w:pPr>
      <w:r>
        <w:rPr>
          <w:rFonts w:ascii="宋体" w:hAnsi="宋体" w:eastAsia="宋体"/>
          <w:b/>
          <w:color w:val="auto"/>
          <w:sz w:val="28"/>
          <w:highlight w:val="none"/>
        </w:rPr>
        <w:br w:type="page"/>
      </w:r>
      <w:r>
        <w:rPr>
          <w:rFonts w:hint="eastAsia" w:ascii="宋体" w:hAnsi="宋体" w:eastAsia="宋体"/>
          <w:b/>
          <w:color w:val="auto"/>
          <w:sz w:val="28"/>
          <w:szCs w:val="28"/>
          <w:highlight w:val="none"/>
        </w:rPr>
        <w:t>二、供应商</w:t>
      </w:r>
      <w:r>
        <w:rPr>
          <w:rFonts w:ascii="宋体" w:hAnsi="宋体" w:eastAsia="宋体"/>
          <w:b/>
          <w:color w:val="auto"/>
          <w:sz w:val="28"/>
          <w:szCs w:val="28"/>
          <w:highlight w:val="none"/>
        </w:rPr>
        <w:t>须知</w:t>
      </w:r>
      <w:r>
        <w:rPr>
          <w:rFonts w:hint="eastAsia" w:ascii="宋体" w:hAnsi="宋体" w:eastAsia="宋体"/>
          <w:b/>
          <w:color w:val="auto"/>
          <w:sz w:val="28"/>
          <w:szCs w:val="28"/>
          <w:highlight w:val="none"/>
        </w:rPr>
        <w:t>正文</w:t>
      </w:r>
    </w:p>
    <w:p w14:paraId="43FAD69D">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w:t>
      </w:r>
      <w:r>
        <w:rPr>
          <w:rFonts w:hint="eastAsia" w:ascii="宋体" w:hAnsi="宋体" w:eastAsia="宋体"/>
          <w:b/>
          <w:color w:val="auto"/>
          <w:sz w:val="24"/>
          <w:highlight w:val="none"/>
        </w:rPr>
        <w:t>适用范围</w:t>
      </w:r>
    </w:p>
    <w:p w14:paraId="68A1FEC0">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rPr>
        <w:t>本磋商文件仅适用于本次磋商所述的服务项目采购。</w:t>
      </w:r>
    </w:p>
    <w:p w14:paraId="1BCAE32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w:t>
      </w:r>
      <w:r>
        <w:rPr>
          <w:rFonts w:ascii="宋体" w:hAnsi="宋体" w:eastAsia="宋体"/>
          <w:b/>
          <w:color w:val="auto"/>
          <w:sz w:val="24"/>
          <w:highlight w:val="none"/>
        </w:rPr>
        <w:t>.</w:t>
      </w:r>
      <w:r>
        <w:rPr>
          <w:rFonts w:hint="eastAsia" w:ascii="宋体" w:hAnsi="宋体" w:eastAsia="宋体"/>
          <w:b/>
          <w:color w:val="auto"/>
          <w:sz w:val="24"/>
          <w:highlight w:val="none"/>
        </w:rPr>
        <w:t>定义</w:t>
      </w:r>
    </w:p>
    <w:p w14:paraId="5424013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服务：系指除货物和工程以外的其他采购对象，包括咨询、调研、评估、规划、设计、监理、审计、保险、租赁、印刷、维修、物业管理等。</w:t>
      </w:r>
    </w:p>
    <w:p w14:paraId="25D4525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2.2时限（年份、月份等）计算：系指从</w:t>
      </w:r>
      <w:r>
        <w:rPr>
          <w:rFonts w:hint="eastAsia" w:ascii="宋体" w:hAnsi="宋体" w:eastAsia="宋体"/>
          <w:color w:val="auto"/>
          <w:sz w:val="24"/>
          <w:highlight w:val="none"/>
        </w:rPr>
        <w:t>磋商</w:t>
      </w:r>
      <w:r>
        <w:rPr>
          <w:rFonts w:ascii="宋体" w:hAnsi="宋体" w:eastAsia="宋体"/>
          <w:color w:val="auto"/>
          <w:sz w:val="24"/>
          <w:highlight w:val="none"/>
        </w:rPr>
        <w:t>之日向前追溯X年/月（“X”为“一”及以后整数）起算。</w:t>
      </w:r>
    </w:p>
    <w:p w14:paraId="632EC81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2.3业绩：</w:t>
      </w:r>
      <w:r>
        <w:rPr>
          <w:rFonts w:hint="eastAsia" w:ascii="宋体" w:hAnsi="宋体" w:eastAsia="宋体"/>
          <w:color w:val="auto"/>
          <w:sz w:val="24"/>
          <w:highlight w:val="none"/>
        </w:rPr>
        <w:t>业绩系指符合本磋商文件规定的与最终用户签订的合同或磋商文件要求的相关证明。供应商</w:t>
      </w:r>
      <w:r>
        <w:rPr>
          <w:rFonts w:ascii="宋体" w:hAnsi="宋体" w:eastAsia="宋体"/>
          <w:color w:val="auto"/>
          <w:sz w:val="24"/>
          <w:highlight w:val="none"/>
        </w:rPr>
        <w:t>与其关联公司（如母公司、控股公司、分公司、子公司、同一法定代表人的公司等）之间签订的合同，均不予认可。</w:t>
      </w:r>
    </w:p>
    <w:p w14:paraId="751DFA6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除非本</w:t>
      </w:r>
      <w:r>
        <w:rPr>
          <w:rFonts w:hint="eastAsia" w:ascii="宋体" w:hAnsi="宋体" w:eastAsia="宋体"/>
          <w:color w:val="auto"/>
          <w:sz w:val="24"/>
          <w:highlight w:val="none"/>
        </w:rPr>
        <w:t>磋商</w:t>
      </w:r>
      <w:r>
        <w:rPr>
          <w:rFonts w:ascii="宋体" w:hAnsi="宋体" w:eastAsia="宋体"/>
          <w:color w:val="auto"/>
          <w:sz w:val="24"/>
          <w:highlight w:val="none"/>
        </w:rPr>
        <w:t>文件</w:t>
      </w:r>
      <w:r>
        <w:rPr>
          <w:rFonts w:hint="eastAsia" w:ascii="宋体" w:hAnsi="宋体" w:eastAsia="宋体"/>
          <w:color w:val="auto"/>
          <w:sz w:val="24"/>
          <w:highlight w:val="none"/>
        </w:rPr>
        <w:t>中</w:t>
      </w:r>
      <w:r>
        <w:rPr>
          <w:rFonts w:ascii="宋体" w:hAnsi="宋体" w:eastAsia="宋体"/>
          <w:color w:val="auto"/>
          <w:sz w:val="24"/>
          <w:highlight w:val="none"/>
        </w:rPr>
        <w:t>另有规定，否则业绩</w:t>
      </w:r>
      <w:r>
        <w:rPr>
          <w:rFonts w:hint="eastAsia" w:ascii="宋体" w:hAnsi="宋体" w:eastAsia="宋体"/>
          <w:color w:val="auto"/>
          <w:sz w:val="24"/>
          <w:highlight w:val="none"/>
        </w:rPr>
        <w:t>均为已服务</w:t>
      </w:r>
      <w:r>
        <w:rPr>
          <w:rFonts w:ascii="宋体" w:hAnsi="宋体" w:eastAsia="宋体"/>
          <w:color w:val="auto"/>
          <w:sz w:val="24"/>
          <w:highlight w:val="none"/>
        </w:rPr>
        <w:t>完毕的</w:t>
      </w:r>
      <w:r>
        <w:rPr>
          <w:rFonts w:hint="eastAsia" w:ascii="宋体" w:hAnsi="宋体" w:eastAsia="宋体"/>
          <w:color w:val="auto"/>
          <w:sz w:val="24"/>
          <w:highlight w:val="none"/>
        </w:rPr>
        <w:t>业绩，业绩</w:t>
      </w:r>
      <w:r>
        <w:rPr>
          <w:rFonts w:ascii="宋体" w:hAnsi="宋体" w:eastAsia="宋体"/>
          <w:color w:val="auto"/>
          <w:sz w:val="24"/>
          <w:highlight w:val="none"/>
        </w:rPr>
        <w:t>时间均以合同签订之日为追溯</w:t>
      </w:r>
      <w:r>
        <w:rPr>
          <w:rFonts w:hint="eastAsia" w:ascii="宋体" w:hAnsi="宋体" w:eastAsia="宋体"/>
          <w:color w:val="auto"/>
          <w:sz w:val="24"/>
          <w:highlight w:val="none"/>
        </w:rPr>
        <w:t>节</w:t>
      </w:r>
      <w:r>
        <w:rPr>
          <w:rFonts w:ascii="宋体" w:hAnsi="宋体" w:eastAsia="宋体"/>
          <w:color w:val="auto"/>
          <w:sz w:val="24"/>
          <w:highlight w:val="none"/>
        </w:rPr>
        <w:t>点。</w:t>
      </w:r>
    </w:p>
    <w:p w14:paraId="592939B8">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w:t>
      </w:r>
      <w:r>
        <w:rPr>
          <w:rFonts w:ascii="宋体" w:hAnsi="宋体" w:eastAsia="宋体"/>
          <w:b/>
          <w:color w:val="auto"/>
          <w:sz w:val="24"/>
          <w:highlight w:val="none"/>
        </w:rPr>
        <w:t>.</w:t>
      </w:r>
      <w:r>
        <w:rPr>
          <w:rFonts w:hint="eastAsia" w:ascii="宋体" w:hAnsi="宋体" w:eastAsia="宋体"/>
          <w:b/>
          <w:color w:val="auto"/>
          <w:sz w:val="24"/>
          <w:highlight w:val="none"/>
        </w:rPr>
        <w:t>采购人、采购代理机构及供应商</w:t>
      </w:r>
    </w:p>
    <w:p w14:paraId="02BB4A0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.1采购人：是指开展采购活动的</w:t>
      </w:r>
      <w:r>
        <w:rPr>
          <w:rFonts w:hint="eastAsia" w:ascii="宋体" w:hAnsi="宋体" w:eastAsia="宋体"/>
          <w:color w:val="auto"/>
          <w:sz w:val="24"/>
          <w:highlight w:val="none"/>
        </w:rPr>
        <w:t>各类主体</w:t>
      </w:r>
      <w:r>
        <w:rPr>
          <w:rFonts w:ascii="宋体" w:hAnsi="宋体" w:eastAsia="宋体"/>
          <w:color w:val="auto"/>
          <w:sz w:val="24"/>
          <w:highlight w:val="none"/>
        </w:rPr>
        <w:t>。</w:t>
      </w:r>
      <w:r>
        <w:rPr>
          <w:rFonts w:hint="eastAsia" w:ascii="宋体" w:hAnsi="宋体" w:eastAsia="宋体"/>
          <w:color w:val="auto"/>
          <w:sz w:val="24"/>
          <w:highlight w:val="none"/>
        </w:rPr>
        <w:t>本项目的采购人见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65C45A7D">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highlight w:val="none"/>
        </w:rPr>
        <w:t>3</w:t>
      </w:r>
      <w:r>
        <w:rPr>
          <w:rFonts w:ascii="宋体" w:hAnsi="宋体" w:eastAsia="宋体"/>
          <w:color w:val="auto"/>
          <w:sz w:val="24"/>
          <w:highlight w:val="none"/>
        </w:rPr>
        <w:t>.2采购代理机构：是指从事采购代理业务的社会中介机构。本项目的采购</w:t>
      </w:r>
      <w:r>
        <w:rPr>
          <w:rFonts w:hint="eastAsia" w:ascii="宋体" w:hAnsi="宋体" w:eastAsia="宋体"/>
          <w:color w:val="auto"/>
          <w:sz w:val="24"/>
          <w:szCs w:val="22"/>
          <w:highlight w:val="none"/>
        </w:rPr>
        <w:t>代理机构见</w:t>
      </w:r>
      <w:r>
        <w:rPr>
          <w:rFonts w:hint="eastAsia" w:ascii="宋体" w:hAnsi="宋体" w:eastAsia="宋体"/>
          <w:color w:val="auto"/>
          <w:sz w:val="24"/>
          <w:szCs w:val="22"/>
          <w:highlight w:val="none"/>
          <w:u w:val="single"/>
        </w:rPr>
        <w:t>供应商须知前附表</w:t>
      </w:r>
      <w:r>
        <w:rPr>
          <w:rFonts w:hint="eastAsia" w:ascii="宋体" w:hAnsi="宋体" w:eastAsia="宋体"/>
          <w:color w:val="auto"/>
          <w:sz w:val="24"/>
          <w:szCs w:val="22"/>
          <w:highlight w:val="none"/>
        </w:rPr>
        <w:t>。</w:t>
      </w:r>
    </w:p>
    <w:p w14:paraId="0A8E13DF">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3.3采购监督管理部门：与采购活动有关的具有监督管理权利的相关部门。本项目的采购监督管理部门见</w:t>
      </w:r>
      <w:r>
        <w:rPr>
          <w:rFonts w:hint="eastAsia" w:ascii="宋体" w:hAnsi="宋体" w:eastAsia="宋体"/>
          <w:color w:val="auto"/>
          <w:sz w:val="24"/>
          <w:szCs w:val="22"/>
          <w:highlight w:val="none"/>
          <w:u w:val="single"/>
        </w:rPr>
        <w:t>供应商须知前附表</w:t>
      </w:r>
      <w:r>
        <w:rPr>
          <w:rFonts w:hint="eastAsia" w:ascii="宋体" w:hAnsi="宋体" w:eastAsia="宋体"/>
          <w:color w:val="auto"/>
          <w:sz w:val="24"/>
          <w:szCs w:val="22"/>
          <w:highlight w:val="none"/>
        </w:rPr>
        <w:t>。</w:t>
      </w:r>
    </w:p>
    <w:p w14:paraId="65CFBED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4供应商</w:t>
      </w:r>
      <w:r>
        <w:rPr>
          <w:rFonts w:ascii="宋体" w:hAnsi="宋体" w:eastAsia="宋体"/>
          <w:color w:val="auto"/>
          <w:sz w:val="24"/>
          <w:highlight w:val="none"/>
        </w:rPr>
        <w:t>：是指向采购人提供货物、工程或者服务的法人、非法人组织或者自然人。</w:t>
      </w:r>
      <w:r>
        <w:rPr>
          <w:rFonts w:hint="eastAsia" w:ascii="宋体" w:hAnsi="宋体" w:eastAsia="宋体"/>
          <w:color w:val="auto"/>
          <w:sz w:val="24"/>
          <w:highlight w:val="none"/>
        </w:rPr>
        <w:t>分支机构不得参加采购活动，但银行、保险、石油石化、电力、电信等特殊行业除外。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须满足以下条件：</w:t>
      </w:r>
    </w:p>
    <w:p w14:paraId="5607D37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.1在中华人民共和国境内注册，能够独立承担民事责任，有生产或供应能力的本国供应商。</w:t>
      </w:r>
    </w:p>
    <w:p w14:paraId="44C0B66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.2以采购代理机构认可的方式获得了本项目的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248B887A">
      <w:pPr>
        <w:wordWrap w:val="0"/>
        <w:spacing w:line="440" w:lineRule="exact"/>
        <w:ind w:firstLine="435"/>
        <w:jc w:val="left"/>
        <w:rPr>
          <w:rFonts w:ascii="宋体" w:hAnsi="宋体" w:eastAsia="宋体"/>
          <w:color w:val="auto"/>
          <w:sz w:val="24"/>
          <w:highlight w:val="none"/>
        </w:rPr>
      </w:pPr>
      <w:r>
        <w:rPr>
          <w:rFonts w:hint="eastAsia" w:ascii="宋体" w:hAnsi="宋体" w:eastAsia="宋体" w:cs="宋体"/>
          <w:color w:val="auto"/>
          <w:sz w:val="24"/>
          <w:highlight w:val="none"/>
        </w:rPr>
        <w:t>3.5</w:t>
      </w:r>
      <w:r>
        <w:rPr>
          <w:rFonts w:ascii="Arial" w:hAnsi="Arial" w:eastAsia="宋体" w:cs="Arial"/>
          <w:color w:val="auto"/>
          <w:sz w:val="24"/>
          <w:highlight w:val="none"/>
        </w:rPr>
        <w:t>若</w:t>
      </w:r>
      <w:r>
        <w:rPr>
          <w:rFonts w:hint="eastAsia" w:ascii="Arial" w:hAnsi="Arial" w:eastAsia="宋体" w:cs="Arial"/>
          <w:color w:val="auto"/>
          <w:sz w:val="24"/>
          <w:highlight w:val="none"/>
          <w:u w:val="single"/>
        </w:rPr>
        <w:t>供应商</w:t>
      </w:r>
      <w:r>
        <w:rPr>
          <w:rFonts w:ascii="Arial" w:hAnsi="Arial" w:eastAsia="宋体" w:cs="Arial"/>
          <w:color w:val="auto"/>
          <w:sz w:val="24"/>
          <w:highlight w:val="none"/>
          <w:u w:val="single"/>
        </w:rPr>
        <w:t>须知前附表</w:t>
      </w:r>
      <w:r>
        <w:rPr>
          <w:rFonts w:ascii="Arial" w:hAnsi="Arial" w:eastAsia="宋体" w:cs="Arial"/>
          <w:color w:val="auto"/>
          <w:sz w:val="24"/>
          <w:highlight w:val="none"/>
        </w:rPr>
        <w:t>中允许联合体</w:t>
      </w:r>
      <w:r>
        <w:rPr>
          <w:rFonts w:hint="eastAsia" w:ascii="Arial" w:hAnsi="Arial" w:eastAsia="宋体" w:cs="Arial"/>
          <w:color w:val="auto"/>
          <w:sz w:val="24"/>
          <w:highlight w:val="none"/>
        </w:rPr>
        <w:t>磋商</w:t>
      </w:r>
      <w:r>
        <w:rPr>
          <w:rFonts w:ascii="Arial" w:hAnsi="Arial" w:eastAsia="宋体" w:cs="Arial"/>
          <w:color w:val="auto"/>
          <w:sz w:val="24"/>
          <w:highlight w:val="none"/>
        </w:rPr>
        <w:t>，对联合体规定如下：</w:t>
      </w:r>
      <w:r>
        <w:rPr>
          <w:rFonts w:ascii="宋体" w:hAnsi="宋体" w:eastAsia="宋体"/>
          <w:color w:val="auto"/>
          <w:sz w:val="24"/>
          <w:highlight w:val="none"/>
        </w:rPr>
        <w:t>：</w:t>
      </w:r>
    </w:p>
    <w:p w14:paraId="552BD1E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p>
    <w:p w14:paraId="0E51DD1F">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3.5.2联合体各方均应为在中华人民共和国境内注册，能够独立承担民事责任，有生产或供应能力的本国供应商。</w:t>
      </w:r>
    </w:p>
    <w:p w14:paraId="47455199">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3.5.3采购人根据采购项目对供应商的特殊要求，联合体中至少应当有一方符合相关规定。</w:t>
      </w:r>
    </w:p>
    <w:p w14:paraId="1CD08428">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3.5.4联合体各方应签订联合体协议，明确约定联合体各方承担的工作和相应的责任，并将联合体协议作为响应文件的一部分提交。</w:t>
      </w:r>
    </w:p>
    <w:p w14:paraId="12916BE3">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3.5.5联合体中有同类资质的供应商按照联合体分工承担相同工作的，应当按照资质等级较低的供应商确定资质等级。</w:t>
      </w:r>
    </w:p>
    <w:p w14:paraId="04D84862">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3.5.6以联合体形式参加采购活动的，联合体各方不得再单独参加或者与其他供应商另外组成联合体参加本项目磋商，否则相关响应文件将被认定为响应无效。</w:t>
      </w:r>
    </w:p>
    <w:p w14:paraId="0A4ABE51">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3.5.7对联合体参加磋商的其他资格要求见供应商资格。</w:t>
      </w:r>
    </w:p>
    <w:p w14:paraId="1FE367C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szCs w:val="22"/>
          <w:highlight w:val="none"/>
        </w:rPr>
        <w:t>3.6单位负责人为同一</w:t>
      </w:r>
      <w:r>
        <w:rPr>
          <w:rFonts w:ascii="宋体" w:hAnsi="宋体" w:eastAsia="宋体"/>
          <w:color w:val="auto"/>
          <w:sz w:val="24"/>
          <w:highlight w:val="none"/>
        </w:rPr>
        <w:t>人或者存在直接控股、管理关系的不同供应商，</w:t>
      </w:r>
      <w:r>
        <w:rPr>
          <w:rFonts w:hint="eastAsia" w:ascii="宋体" w:hAnsi="宋体" w:eastAsia="宋体"/>
          <w:color w:val="auto"/>
          <w:sz w:val="24"/>
          <w:highlight w:val="none"/>
        </w:rPr>
        <w:t>不得参加同一合同项下的采购活动。否则</w:t>
      </w:r>
      <w:r>
        <w:rPr>
          <w:rFonts w:ascii="宋体" w:hAnsi="宋体" w:eastAsia="宋体"/>
          <w:color w:val="auto"/>
          <w:sz w:val="24"/>
          <w:highlight w:val="none"/>
        </w:rPr>
        <w:t>其相关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42F3260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7</w:t>
      </w:r>
      <w:r>
        <w:rPr>
          <w:rFonts w:ascii="宋体" w:hAnsi="宋体" w:eastAsia="宋体"/>
          <w:color w:val="auto"/>
          <w:sz w:val="24"/>
          <w:highlight w:val="none"/>
        </w:rPr>
        <w:t>为本项目提供过整体设计、规范编制或者项目管理、监理、检测等服务的供应商，不得再参加本项目上述服务以外的其他采购活动。否则其</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0A8FE914">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4</w:t>
      </w:r>
      <w:r>
        <w:rPr>
          <w:rFonts w:ascii="宋体" w:hAnsi="宋体" w:eastAsia="宋体"/>
          <w:b/>
          <w:color w:val="auto"/>
          <w:sz w:val="24"/>
          <w:highlight w:val="none"/>
        </w:rPr>
        <w:t>.</w:t>
      </w:r>
      <w:r>
        <w:rPr>
          <w:rFonts w:hint="eastAsia" w:ascii="宋体" w:hAnsi="宋体" w:eastAsia="宋体"/>
          <w:b/>
          <w:color w:val="auto"/>
          <w:sz w:val="24"/>
          <w:highlight w:val="none"/>
        </w:rPr>
        <w:t>资金来源</w:t>
      </w:r>
    </w:p>
    <w:p w14:paraId="047D16D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4.1本项目的采购人已获得足以支付本次</w:t>
      </w:r>
      <w:r>
        <w:rPr>
          <w:rFonts w:hint="eastAsia" w:ascii="宋体" w:hAnsi="宋体" w:eastAsia="宋体"/>
          <w:color w:val="auto"/>
          <w:sz w:val="24"/>
          <w:highlight w:val="none"/>
        </w:rPr>
        <w:t>磋商</w:t>
      </w:r>
      <w:r>
        <w:rPr>
          <w:rFonts w:ascii="宋体" w:hAnsi="宋体" w:eastAsia="宋体"/>
          <w:color w:val="auto"/>
          <w:sz w:val="24"/>
          <w:highlight w:val="none"/>
        </w:rPr>
        <w:t>后所签订的合同项下的资金。</w:t>
      </w:r>
    </w:p>
    <w:p w14:paraId="06C27BB7">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4.2项目预算金额</w:t>
      </w:r>
      <w:r>
        <w:rPr>
          <w:rFonts w:hint="eastAsia" w:ascii="宋体" w:hAnsi="宋体" w:eastAsia="宋体"/>
          <w:color w:val="auto"/>
          <w:sz w:val="24"/>
          <w:highlight w:val="none"/>
        </w:rPr>
        <w:t>或</w:t>
      </w:r>
      <w:r>
        <w:rPr>
          <w:rFonts w:ascii="宋体" w:hAnsi="宋体" w:eastAsia="宋体"/>
          <w:color w:val="auto"/>
          <w:sz w:val="24"/>
          <w:highlight w:val="none"/>
        </w:rPr>
        <w:t>分项（或分包）预算金额见</w:t>
      </w:r>
      <w:r>
        <w:rPr>
          <w:rFonts w:hint="eastAsia" w:ascii="宋体" w:hAnsi="宋体" w:eastAsia="宋体"/>
          <w:color w:val="auto"/>
          <w:sz w:val="24"/>
          <w:highlight w:val="none"/>
        </w:rPr>
        <w:t>磋商公告</w:t>
      </w:r>
      <w:r>
        <w:rPr>
          <w:rFonts w:ascii="宋体" w:hAnsi="宋体" w:eastAsia="宋体"/>
          <w:color w:val="auto"/>
          <w:sz w:val="24"/>
          <w:highlight w:val="none"/>
        </w:rPr>
        <w:t>。</w:t>
      </w:r>
    </w:p>
    <w:p w14:paraId="160C200B">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5</w:t>
      </w:r>
      <w:r>
        <w:rPr>
          <w:rFonts w:ascii="宋体" w:hAnsi="宋体" w:eastAsia="宋体"/>
          <w:b/>
          <w:color w:val="auto"/>
          <w:sz w:val="24"/>
          <w:highlight w:val="none"/>
        </w:rPr>
        <w:t>.</w:t>
      </w:r>
      <w:r>
        <w:rPr>
          <w:rFonts w:hint="eastAsia" w:ascii="宋体" w:hAnsi="宋体" w:eastAsia="宋体"/>
          <w:b/>
          <w:color w:val="auto"/>
          <w:sz w:val="24"/>
          <w:highlight w:val="none"/>
        </w:rPr>
        <w:t>磋商费用</w:t>
      </w:r>
    </w:p>
    <w:p w14:paraId="4CBD1CC7">
      <w:pPr>
        <w:wordWrap w:val="0"/>
        <w:spacing w:line="440" w:lineRule="exact"/>
        <w:ind w:firstLine="437"/>
        <w:jc w:val="left"/>
        <w:outlineLvl w:val="3"/>
        <w:rPr>
          <w:rFonts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48495B87">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w:t>
      </w:r>
      <w:r>
        <w:rPr>
          <w:rFonts w:hint="eastAsia" w:ascii="宋体" w:hAnsi="宋体" w:eastAsia="宋体"/>
          <w:b/>
          <w:color w:val="auto"/>
          <w:sz w:val="24"/>
          <w:highlight w:val="none"/>
        </w:rPr>
        <w:t>适用法律</w:t>
      </w:r>
    </w:p>
    <w:p w14:paraId="1BF524F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本项目不属于政府采购项目，本项目采购人、采购代理机构、供应商、磋商小组的相关行为和权利受采购人有关规定及本项目磋商文件的约束和保护。</w:t>
      </w:r>
    </w:p>
    <w:p w14:paraId="41D533DD">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7</w:t>
      </w:r>
      <w:r>
        <w:rPr>
          <w:rFonts w:ascii="宋体" w:hAnsi="宋体" w:eastAsia="宋体"/>
          <w:b/>
          <w:color w:val="auto"/>
          <w:sz w:val="24"/>
          <w:highlight w:val="none"/>
        </w:rPr>
        <w:t>.</w:t>
      </w:r>
      <w:r>
        <w:rPr>
          <w:rFonts w:hint="eastAsia" w:ascii="宋体" w:hAnsi="宋体" w:eastAsia="宋体"/>
          <w:b/>
          <w:color w:val="auto"/>
          <w:sz w:val="24"/>
          <w:highlight w:val="none"/>
        </w:rPr>
        <w:t>磋商文件构成</w:t>
      </w:r>
    </w:p>
    <w:p w14:paraId="0B8EADC8">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7.1磋商文件包括下列内容：</w:t>
      </w:r>
    </w:p>
    <w:p w14:paraId="34DD3F12">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w:t>
      </w:r>
      <w:r>
        <w:rPr>
          <w:rFonts w:hint="eastAsia" w:ascii="宋体" w:hAnsi="宋体" w:eastAsia="宋体"/>
          <w:color w:val="auto"/>
          <w:sz w:val="24"/>
          <w:highlight w:val="none"/>
        </w:rPr>
        <w:t>磋商公告</w:t>
      </w:r>
    </w:p>
    <w:p w14:paraId="0B9699D3">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w:t>
      </w:r>
      <w:r>
        <w:rPr>
          <w:rFonts w:hint="eastAsia" w:ascii="宋体" w:hAnsi="宋体" w:eastAsia="宋体"/>
          <w:color w:val="auto"/>
          <w:sz w:val="24"/>
          <w:highlight w:val="none"/>
        </w:rPr>
        <w:t>供应商</w:t>
      </w:r>
      <w:r>
        <w:rPr>
          <w:rFonts w:ascii="宋体" w:hAnsi="宋体" w:eastAsia="宋体"/>
          <w:color w:val="auto"/>
          <w:sz w:val="24"/>
          <w:highlight w:val="none"/>
        </w:rPr>
        <w:t>须知</w:t>
      </w:r>
    </w:p>
    <w:p w14:paraId="4EDF1568">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1ED5E8D0">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w:t>
      </w:r>
      <w:r>
        <w:rPr>
          <w:rFonts w:hint="eastAsia" w:ascii="宋体" w:hAnsi="宋体" w:eastAsia="宋体"/>
          <w:color w:val="auto"/>
          <w:sz w:val="24"/>
          <w:highlight w:val="none"/>
        </w:rPr>
        <w:t>评审方法</w:t>
      </w:r>
      <w:r>
        <w:rPr>
          <w:rFonts w:ascii="宋体" w:hAnsi="宋体" w:eastAsia="宋体"/>
          <w:color w:val="auto"/>
          <w:sz w:val="24"/>
          <w:highlight w:val="none"/>
        </w:rPr>
        <w:t>和标准</w:t>
      </w:r>
    </w:p>
    <w:p w14:paraId="18EC3BA8">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采购合同</w:t>
      </w:r>
    </w:p>
    <w:p w14:paraId="2FE905E5">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w:t>
      </w:r>
      <w:r>
        <w:rPr>
          <w:rFonts w:hint="eastAsia" w:ascii="宋体" w:hAnsi="宋体" w:eastAsia="宋体"/>
          <w:color w:val="auto"/>
          <w:sz w:val="24"/>
          <w:highlight w:val="none"/>
        </w:rPr>
        <w:t>响应</w:t>
      </w:r>
      <w:r>
        <w:rPr>
          <w:rFonts w:ascii="宋体" w:hAnsi="宋体" w:eastAsia="宋体"/>
          <w:color w:val="auto"/>
          <w:sz w:val="24"/>
          <w:highlight w:val="none"/>
        </w:rPr>
        <w:t>文件格式</w:t>
      </w:r>
    </w:p>
    <w:p w14:paraId="7C94CBDF">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附  件  安招采平台电子招标投标操作规程</w:t>
      </w:r>
    </w:p>
    <w:p w14:paraId="61E7921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7.2</w:t>
      </w:r>
      <w:r>
        <w:rPr>
          <w:rFonts w:hint="eastAsia" w:ascii="宋体" w:hAnsi="宋体" w:eastAsia="宋体"/>
          <w:color w:val="auto"/>
          <w:sz w:val="24"/>
          <w:highlight w:val="none"/>
        </w:rPr>
        <w:t>磋商</w:t>
      </w:r>
      <w:r>
        <w:rPr>
          <w:rFonts w:ascii="宋体" w:hAnsi="宋体" w:eastAsia="宋体"/>
          <w:color w:val="auto"/>
          <w:sz w:val="24"/>
          <w:highlight w:val="none"/>
        </w:rPr>
        <w:t>文件中有不一致的，有</w:t>
      </w:r>
      <w:r>
        <w:rPr>
          <w:rFonts w:hint="eastAsia" w:ascii="宋体" w:hAnsi="宋体" w:eastAsia="宋体"/>
          <w:color w:val="auto"/>
          <w:sz w:val="24"/>
          <w:highlight w:val="none"/>
        </w:rPr>
        <w:t>澄清</w:t>
      </w:r>
      <w:r>
        <w:rPr>
          <w:rFonts w:ascii="宋体" w:hAnsi="宋体" w:eastAsia="宋体"/>
          <w:color w:val="auto"/>
          <w:sz w:val="24"/>
          <w:highlight w:val="none"/>
        </w:rPr>
        <w:t>的部分以最终的</w:t>
      </w:r>
      <w:r>
        <w:rPr>
          <w:rFonts w:hint="eastAsia" w:ascii="宋体" w:hAnsi="宋体" w:eastAsia="宋体"/>
          <w:color w:val="auto"/>
          <w:sz w:val="24"/>
          <w:highlight w:val="none"/>
        </w:rPr>
        <w:t>澄清更正</w:t>
      </w:r>
      <w:r>
        <w:rPr>
          <w:rFonts w:ascii="宋体" w:hAnsi="宋体" w:eastAsia="宋体"/>
          <w:color w:val="auto"/>
          <w:sz w:val="24"/>
          <w:highlight w:val="none"/>
        </w:rPr>
        <w:t>内容为准</w:t>
      </w:r>
      <w:r>
        <w:rPr>
          <w:rFonts w:hint="eastAsia" w:ascii="宋体" w:hAnsi="宋体" w:eastAsia="宋体"/>
          <w:color w:val="auto"/>
          <w:sz w:val="24"/>
          <w:highlight w:val="none"/>
        </w:rPr>
        <w:t>。</w:t>
      </w:r>
    </w:p>
    <w:p w14:paraId="097CB89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7.3现场</w:t>
      </w:r>
      <w:r>
        <w:rPr>
          <w:rFonts w:hint="eastAsia" w:ascii="宋体" w:hAnsi="宋体" w:eastAsia="宋体"/>
          <w:color w:val="auto"/>
          <w:sz w:val="24"/>
          <w:highlight w:val="none"/>
        </w:rPr>
        <w:t>考察</w:t>
      </w:r>
      <w:r>
        <w:rPr>
          <w:rFonts w:ascii="宋体" w:hAnsi="宋体" w:eastAsia="宋体"/>
          <w:color w:val="auto"/>
          <w:sz w:val="24"/>
          <w:highlight w:val="none"/>
        </w:rPr>
        <w:t>及相关事项见</w:t>
      </w:r>
      <w:r>
        <w:rPr>
          <w:rFonts w:ascii="宋体" w:hAnsi="宋体" w:eastAsia="宋体"/>
          <w:color w:val="auto"/>
          <w:sz w:val="24"/>
          <w:highlight w:val="none"/>
          <w:u w:val="single"/>
        </w:rPr>
        <w:t>供应商须知前附表</w:t>
      </w:r>
      <w:r>
        <w:rPr>
          <w:rFonts w:ascii="宋体" w:hAnsi="宋体" w:eastAsia="宋体"/>
          <w:color w:val="auto"/>
          <w:sz w:val="24"/>
          <w:highlight w:val="none"/>
        </w:rPr>
        <w:t>。</w:t>
      </w:r>
    </w:p>
    <w:p w14:paraId="1ABF19C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w:t>
      </w:r>
      <w:r>
        <w:rPr>
          <w:rFonts w:hint="eastAsia" w:ascii="宋体" w:hAnsi="宋体" w:eastAsia="宋体"/>
          <w:color w:val="auto"/>
          <w:sz w:val="24"/>
          <w:highlight w:val="none"/>
        </w:rPr>
        <w:t>4如需提供样品，对样品相关要求见采购需求，对样品的评审方法及评审标准见磋商文件第四章。</w:t>
      </w:r>
    </w:p>
    <w:p w14:paraId="073A2617">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w:t>
      </w:r>
      <w:r>
        <w:rPr>
          <w:rFonts w:hint="eastAsia" w:ascii="宋体" w:hAnsi="宋体" w:eastAsia="宋体"/>
          <w:color w:val="auto"/>
          <w:sz w:val="24"/>
          <w:highlight w:val="none"/>
        </w:rPr>
        <w:t>5供应商</w:t>
      </w:r>
      <w:r>
        <w:rPr>
          <w:rFonts w:ascii="宋体" w:hAnsi="宋体" w:eastAsia="宋体"/>
          <w:color w:val="auto"/>
          <w:sz w:val="24"/>
          <w:highlight w:val="none"/>
        </w:rPr>
        <w:t>应认真阅读</w:t>
      </w:r>
      <w:r>
        <w:rPr>
          <w:rFonts w:hint="eastAsia" w:ascii="宋体" w:hAnsi="宋体" w:eastAsia="宋体"/>
          <w:color w:val="auto"/>
          <w:sz w:val="24"/>
          <w:highlight w:val="none"/>
        </w:rPr>
        <w:t>磋商</w:t>
      </w:r>
      <w:r>
        <w:rPr>
          <w:rFonts w:ascii="宋体" w:hAnsi="宋体" w:eastAsia="宋体"/>
          <w:color w:val="auto"/>
          <w:sz w:val="24"/>
          <w:highlight w:val="none"/>
        </w:rPr>
        <w:t>文件所有的事项、格式、条款和技术规范等。</w:t>
      </w:r>
    </w:p>
    <w:p w14:paraId="02A32BCE">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8</w:t>
      </w:r>
      <w:r>
        <w:rPr>
          <w:rFonts w:ascii="宋体" w:hAnsi="宋体" w:eastAsia="宋体"/>
          <w:b/>
          <w:color w:val="auto"/>
          <w:sz w:val="24"/>
          <w:highlight w:val="none"/>
        </w:rPr>
        <w:t>.</w:t>
      </w:r>
      <w:r>
        <w:rPr>
          <w:rFonts w:hint="eastAsia" w:ascii="宋体" w:hAnsi="宋体" w:eastAsia="宋体"/>
          <w:b/>
          <w:color w:val="auto"/>
          <w:sz w:val="24"/>
          <w:highlight w:val="none"/>
        </w:rPr>
        <w:t>磋商文件的澄清与修改</w:t>
      </w:r>
    </w:p>
    <w:p w14:paraId="6AD4238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1</w:t>
      </w:r>
      <w:r>
        <w:rPr>
          <w:rFonts w:hint="eastAsia" w:ascii="Arial" w:hAnsi="Arial" w:eastAsia="宋体" w:cs="Arial"/>
          <w:color w:val="auto"/>
          <w:sz w:val="24"/>
          <w:highlight w:val="none"/>
        </w:rPr>
        <w:t>供应商</w:t>
      </w:r>
      <w:r>
        <w:rPr>
          <w:rFonts w:ascii="Arial" w:hAnsi="Arial" w:eastAsia="宋体" w:cs="Arial"/>
          <w:color w:val="auto"/>
          <w:sz w:val="24"/>
          <w:highlight w:val="none"/>
        </w:rPr>
        <w:t>如对</w:t>
      </w:r>
      <w:r>
        <w:rPr>
          <w:rFonts w:hint="eastAsia" w:ascii="Arial" w:hAnsi="Arial" w:eastAsia="宋体" w:cs="Arial"/>
          <w:color w:val="auto"/>
          <w:sz w:val="24"/>
          <w:highlight w:val="none"/>
        </w:rPr>
        <w:t>磋商</w:t>
      </w:r>
      <w:r>
        <w:rPr>
          <w:rFonts w:ascii="Arial" w:hAnsi="Arial" w:eastAsia="宋体" w:cs="Arial"/>
          <w:color w:val="auto"/>
          <w:sz w:val="24"/>
          <w:highlight w:val="none"/>
        </w:rPr>
        <w:t>文件内容有疑问，</w:t>
      </w:r>
      <w:r>
        <w:rPr>
          <w:rFonts w:hint="eastAsia" w:ascii="宋体" w:hAnsi="宋体" w:eastAsia="宋体"/>
          <w:color w:val="auto"/>
          <w:sz w:val="24"/>
          <w:highlight w:val="none"/>
        </w:rPr>
        <w:t>应</w:t>
      </w:r>
      <w:r>
        <w:rPr>
          <w:rFonts w:hint="eastAsia" w:ascii="Arial" w:hAnsi="Arial" w:eastAsia="宋体" w:cs="Arial"/>
          <w:color w:val="auto"/>
          <w:sz w:val="24"/>
          <w:highlight w:val="none"/>
        </w:rPr>
        <w:t>在</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中规定的时间</w:t>
      </w:r>
      <w:r>
        <w:rPr>
          <w:rFonts w:ascii="Arial" w:hAnsi="Arial" w:eastAsia="宋体" w:cs="Arial"/>
          <w:color w:val="auto"/>
          <w:sz w:val="24"/>
          <w:highlight w:val="none"/>
        </w:rPr>
        <w:t>以</w:t>
      </w:r>
      <w:r>
        <w:rPr>
          <w:rFonts w:hint="eastAsia" w:ascii="Arial" w:hAnsi="Arial" w:eastAsia="宋体" w:cs="Arial"/>
          <w:color w:val="auto"/>
          <w:sz w:val="24"/>
          <w:highlight w:val="none"/>
        </w:rPr>
        <w:t>网上提问</w:t>
      </w:r>
      <w:r>
        <w:rPr>
          <w:rFonts w:ascii="Arial" w:hAnsi="Arial" w:eastAsia="宋体" w:cs="Arial"/>
          <w:color w:val="auto"/>
          <w:sz w:val="24"/>
          <w:highlight w:val="none"/>
        </w:rPr>
        <w:t>形式（</w:t>
      </w:r>
      <w:r>
        <w:rPr>
          <w:rFonts w:hint="eastAsia" w:ascii="Arial" w:hAnsi="Arial" w:eastAsia="宋体" w:cs="Arial"/>
          <w:color w:val="auto"/>
          <w:sz w:val="24"/>
          <w:highlight w:val="none"/>
        </w:rPr>
        <w:t>安招采平台</w:t>
      </w:r>
      <w:r>
        <w:rPr>
          <w:rFonts w:ascii="Arial" w:hAnsi="Arial" w:eastAsia="宋体" w:cs="Arial"/>
          <w:color w:val="auto"/>
          <w:sz w:val="24"/>
          <w:highlight w:val="none"/>
        </w:rPr>
        <w:t>）</w:t>
      </w:r>
      <w:r>
        <w:rPr>
          <w:rFonts w:hint="eastAsia" w:ascii="Arial" w:hAnsi="Arial" w:eastAsia="宋体" w:cs="Arial"/>
          <w:color w:val="auto"/>
          <w:sz w:val="24"/>
          <w:highlight w:val="none"/>
        </w:rPr>
        <w:t>提交给采购人或采购</w:t>
      </w:r>
      <w:r>
        <w:rPr>
          <w:rFonts w:ascii="Arial" w:hAnsi="Arial" w:eastAsia="宋体" w:cs="Arial"/>
          <w:color w:val="auto"/>
          <w:sz w:val="24"/>
          <w:highlight w:val="none"/>
        </w:rPr>
        <w:t>代理机构</w:t>
      </w:r>
      <w:r>
        <w:rPr>
          <w:rFonts w:hint="eastAsia" w:ascii="Arial" w:hAnsi="Arial" w:eastAsia="宋体" w:cs="Arial"/>
          <w:color w:val="auto"/>
          <w:sz w:val="24"/>
          <w:highlight w:val="none"/>
        </w:rPr>
        <w:t>。</w:t>
      </w:r>
      <w:r>
        <w:rPr>
          <w:rFonts w:hint="eastAsia" w:ascii="宋体" w:hAnsi="宋体" w:eastAsia="宋体"/>
          <w:color w:val="auto"/>
          <w:sz w:val="24"/>
          <w:highlight w:val="none"/>
        </w:rPr>
        <w:t>采购人对需要做出澄清的问题，以澄清和修改通知的方式予以答复。</w:t>
      </w:r>
    </w:p>
    <w:p w14:paraId="257F6692">
      <w:pPr>
        <w:wordWrap w:val="0"/>
        <w:snapToGrid w:val="0"/>
        <w:spacing w:line="44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2采购人可主动或在解答供应商提出的问题时对磋商文件进行澄清或者修改。</w:t>
      </w:r>
      <w:r>
        <w:rPr>
          <w:rFonts w:ascii="宋体" w:hAnsi="宋体" w:eastAsia="宋体"/>
          <w:color w:val="auto"/>
          <w:sz w:val="24"/>
          <w:highlight w:val="none"/>
        </w:rPr>
        <w:t>采</w:t>
      </w:r>
      <w:r>
        <w:rPr>
          <w:rFonts w:hint="eastAsia" w:ascii="宋体" w:hAnsi="宋体" w:eastAsia="宋体"/>
          <w:color w:val="auto"/>
          <w:sz w:val="24"/>
          <w:highlight w:val="none"/>
        </w:rPr>
        <w:t>购代理机构将在磋商公告发布的同一媒介以更正公告的方式澄清或者修改磋商文件，更正公告的内容作为磋商文件的组成部分，对供应商起约束作用。供应商应主动上网查询。采购代理机构不承担供应商未及时关注相关信息引发的相关责任。</w:t>
      </w:r>
    </w:p>
    <w:p w14:paraId="2437E4E0">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8</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3C58E1F4">
      <w:pPr>
        <w:wordWrap w:val="0"/>
        <w:spacing w:line="440" w:lineRule="exact"/>
        <w:ind w:firstLine="437"/>
        <w:jc w:val="left"/>
        <w:outlineLvl w:val="3"/>
        <w:rPr>
          <w:rFonts w:ascii="宋体" w:hAnsi="宋体" w:eastAsia="宋体"/>
          <w:i/>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询问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w:t>
      </w:r>
      <w:r>
        <w:rPr>
          <w:rFonts w:hint="eastAsia" w:ascii="宋体" w:hAnsi="宋体" w:eastAsia="宋体"/>
          <w:color w:val="auto"/>
          <w:sz w:val="24"/>
          <w:highlight w:val="none"/>
        </w:rPr>
        <w:t>磋商</w:t>
      </w:r>
      <w:r>
        <w:rPr>
          <w:rFonts w:ascii="宋体" w:hAnsi="宋体" w:eastAsia="宋体"/>
          <w:color w:val="auto"/>
          <w:sz w:val="24"/>
          <w:highlight w:val="none"/>
        </w:rPr>
        <w:t>的</w:t>
      </w:r>
      <w:r>
        <w:rPr>
          <w:rFonts w:hint="eastAsia" w:ascii="宋体" w:hAnsi="宋体" w:eastAsia="宋体"/>
          <w:color w:val="auto"/>
          <w:sz w:val="24"/>
          <w:highlight w:val="none"/>
        </w:rPr>
        <w:t>供应商</w:t>
      </w:r>
      <w:r>
        <w:rPr>
          <w:rFonts w:ascii="宋体" w:hAnsi="宋体" w:eastAsia="宋体"/>
          <w:color w:val="auto"/>
          <w:sz w:val="24"/>
          <w:highlight w:val="none"/>
        </w:rPr>
        <w:t>将被视为完全认同</w:t>
      </w:r>
      <w:r>
        <w:rPr>
          <w:rFonts w:hint="eastAsia" w:ascii="宋体" w:hAnsi="宋体" w:eastAsia="宋体"/>
          <w:color w:val="auto"/>
          <w:sz w:val="24"/>
          <w:highlight w:val="none"/>
        </w:rPr>
        <w:t>本磋商</w:t>
      </w:r>
      <w:r>
        <w:rPr>
          <w:rFonts w:ascii="宋体" w:hAnsi="宋体" w:eastAsia="宋体"/>
          <w:color w:val="auto"/>
          <w:sz w:val="24"/>
          <w:highlight w:val="none"/>
        </w:rPr>
        <w:t>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003EEC37">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9</w:t>
      </w:r>
      <w:r>
        <w:rPr>
          <w:rFonts w:ascii="宋体" w:hAnsi="宋体" w:eastAsia="宋体"/>
          <w:b/>
          <w:color w:val="auto"/>
          <w:sz w:val="24"/>
          <w:highlight w:val="none"/>
        </w:rPr>
        <w:t>.</w:t>
      </w:r>
      <w:r>
        <w:rPr>
          <w:rFonts w:hint="eastAsia" w:ascii="宋体" w:hAnsi="宋体" w:eastAsia="宋体"/>
          <w:b/>
          <w:color w:val="auto"/>
          <w:sz w:val="24"/>
          <w:highlight w:val="none"/>
        </w:rPr>
        <w:t>磋商范围及响应文件中标准和计量单位的使用</w:t>
      </w:r>
    </w:p>
    <w:p w14:paraId="7133BA5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9.1项目有分包的，供应商可</w:t>
      </w:r>
      <w:r>
        <w:rPr>
          <w:rFonts w:hint="eastAsia" w:ascii="宋体" w:hAnsi="宋体" w:eastAsia="宋体"/>
          <w:color w:val="auto"/>
          <w:sz w:val="24"/>
          <w:highlight w:val="none"/>
        </w:rPr>
        <w:t>参与</w:t>
      </w:r>
      <w:r>
        <w:rPr>
          <w:rFonts w:ascii="宋体" w:hAnsi="宋体" w:eastAsia="宋体"/>
          <w:color w:val="auto"/>
          <w:sz w:val="24"/>
          <w:highlight w:val="none"/>
        </w:rPr>
        <w:t>其中某一个或</w:t>
      </w:r>
      <w:r>
        <w:rPr>
          <w:rFonts w:hint="eastAsia" w:ascii="宋体" w:hAnsi="宋体" w:eastAsia="宋体"/>
          <w:color w:val="auto"/>
          <w:sz w:val="24"/>
          <w:highlight w:val="none"/>
        </w:rPr>
        <w:t>多</w:t>
      </w:r>
      <w:r>
        <w:rPr>
          <w:rFonts w:ascii="宋体" w:hAnsi="宋体" w:eastAsia="宋体"/>
          <w:color w:val="auto"/>
          <w:sz w:val="24"/>
          <w:highlight w:val="none"/>
        </w:rPr>
        <w:t>个分包</w:t>
      </w:r>
      <w:r>
        <w:rPr>
          <w:rFonts w:hint="eastAsia" w:ascii="宋体" w:hAnsi="宋体" w:eastAsia="宋体"/>
          <w:color w:val="auto"/>
          <w:sz w:val="24"/>
          <w:highlight w:val="none"/>
        </w:rPr>
        <w:t>的磋商</w:t>
      </w:r>
      <w:r>
        <w:rPr>
          <w:rFonts w:ascii="宋体" w:hAnsi="宋体" w:eastAsia="宋体"/>
          <w:color w:val="auto"/>
          <w:sz w:val="24"/>
          <w:highlight w:val="none"/>
        </w:rPr>
        <w:t>，</w:t>
      </w:r>
      <w:r>
        <w:rPr>
          <w:rFonts w:hint="eastAsia" w:ascii="宋体" w:hAnsi="宋体" w:eastAsia="宋体"/>
          <w:color w:val="auto"/>
          <w:sz w:val="24"/>
          <w:highlight w:val="none"/>
        </w:rPr>
        <w:t>成交包数详见</w:t>
      </w:r>
      <w:r>
        <w:rPr>
          <w:rFonts w:ascii="宋体" w:hAnsi="宋体" w:eastAsia="宋体"/>
          <w:color w:val="auto"/>
          <w:sz w:val="24"/>
          <w:highlight w:val="none"/>
          <w:u w:val="single"/>
        </w:rPr>
        <w:t>供应商须知前附表</w:t>
      </w:r>
      <w:r>
        <w:rPr>
          <w:rFonts w:ascii="宋体" w:hAnsi="宋体" w:eastAsia="宋体"/>
          <w:color w:val="auto"/>
          <w:sz w:val="24"/>
          <w:highlight w:val="none"/>
        </w:rPr>
        <w:t>中规定。</w:t>
      </w:r>
    </w:p>
    <w:p w14:paraId="22F2C11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2</w:t>
      </w:r>
      <w:r>
        <w:rPr>
          <w:rFonts w:ascii="宋体" w:hAnsi="宋体" w:eastAsia="宋体"/>
          <w:color w:val="auto"/>
          <w:sz w:val="24"/>
          <w:highlight w:val="none"/>
        </w:rPr>
        <w:t>无论磋商文件中是否要求，供应商所投服务及伴随的货物和工程均应符合国家强制性标准。</w:t>
      </w:r>
    </w:p>
    <w:p w14:paraId="695D00A9">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3</w:t>
      </w:r>
      <w:r>
        <w:rPr>
          <w:rFonts w:ascii="宋体" w:hAnsi="宋体" w:eastAsia="宋体"/>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38013CB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4</w:t>
      </w:r>
      <w:r>
        <w:rPr>
          <w:rFonts w:ascii="宋体" w:hAnsi="宋体" w:eastAsia="宋体"/>
          <w:color w:val="auto"/>
          <w:sz w:val="24"/>
          <w:highlight w:val="none"/>
        </w:rPr>
        <w:t>除磋商文件中有特殊要求外，响应文件中所使用的计量单位，应采用中华人民共和国法定计量单位。</w:t>
      </w:r>
    </w:p>
    <w:p w14:paraId="2417E4AE">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0.</w:t>
      </w:r>
      <w:r>
        <w:rPr>
          <w:rFonts w:hint="eastAsia" w:ascii="宋体" w:hAnsi="宋体" w:eastAsia="宋体"/>
          <w:b/>
          <w:color w:val="auto"/>
          <w:sz w:val="24"/>
          <w:highlight w:val="none"/>
        </w:rPr>
        <w:t>响应文件构成</w:t>
      </w:r>
    </w:p>
    <w:p w14:paraId="0F581966">
      <w:pPr>
        <w:wordWrap w:val="0"/>
        <w:spacing w:line="440" w:lineRule="exact"/>
        <w:ind w:firstLine="437"/>
        <w:jc w:val="left"/>
        <w:rPr>
          <w:rFonts w:ascii="宋体" w:hAnsi="宋体" w:eastAsia="宋体"/>
          <w:color w:val="auto"/>
          <w:sz w:val="24"/>
          <w:highlight w:val="none"/>
        </w:rPr>
      </w:pPr>
      <w:r>
        <w:rPr>
          <w:rFonts w:ascii="宋体" w:hAnsi="宋体" w:eastAsia="宋体"/>
          <w:color w:val="auto"/>
          <w:sz w:val="24"/>
          <w:highlight w:val="none"/>
        </w:rPr>
        <w:t>10.1供应商应完整地按磋商文件提供的响应文件格式及要求编写响应文件，具体内容详见第六章响应文件格式的相关内容。</w:t>
      </w:r>
    </w:p>
    <w:p w14:paraId="42770590">
      <w:pPr>
        <w:wordWrap w:val="0"/>
        <w:spacing w:line="440" w:lineRule="exact"/>
        <w:ind w:firstLine="437"/>
        <w:jc w:val="left"/>
        <w:rPr>
          <w:rFonts w:ascii="宋体" w:hAnsi="宋体" w:eastAsia="宋体"/>
          <w:color w:val="auto"/>
          <w:sz w:val="24"/>
          <w:highlight w:val="none"/>
        </w:rPr>
      </w:pPr>
      <w:r>
        <w:rPr>
          <w:rFonts w:ascii="宋体" w:hAnsi="宋体" w:eastAsia="宋体"/>
          <w:color w:val="auto"/>
          <w:sz w:val="24"/>
          <w:highlight w:val="none"/>
        </w:rPr>
        <w:t>10.2上述文件应按照磋商文件规定的格式填写、签署和盖章。</w:t>
      </w:r>
    </w:p>
    <w:p w14:paraId="73181D7C">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1.</w:t>
      </w:r>
      <w:r>
        <w:rPr>
          <w:rFonts w:hint="eastAsia" w:ascii="宋体" w:hAnsi="宋体" w:eastAsia="宋体"/>
          <w:b/>
          <w:color w:val="auto"/>
          <w:sz w:val="24"/>
          <w:highlight w:val="none"/>
        </w:rPr>
        <w:t>证明标的的合格性和符合磋商文件规定的响应文件</w:t>
      </w:r>
    </w:p>
    <w:p w14:paraId="1FBEE1A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.1</w:t>
      </w:r>
      <w:r>
        <w:rPr>
          <w:rFonts w:hint="eastAsia" w:ascii="宋体" w:hAnsi="宋体" w:eastAsia="宋体"/>
          <w:color w:val="auto"/>
          <w:sz w:val="24"/>
          <w:highlight w:val="none"/>
        </w:rPr>
        <w:t>供应商应提交磋商文件要求的证明文件，证明其响应内容符合磋商文件规定。该证明文件是响应文件的一部分</w:t>
      </w:r>
      <w:r>
        <w:rPr>
          <w:rFonts w:ascii="宋体" w:hAnsi="宋体" w:eastAsia="宋体"/>
          <w:color w:val="auto"/>
          <w:sz w:val="24"/>
          <w:highlight w:val="none"/>
        </w:rPr>
        <w:t>。</w:t>
      </w:r>
    </w:p>
    <w:p w14:paraId="05EC329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.2上款所述的证明文件，可以是文字资料、图纸和数据</w:t>
      </w:r>
      <w:bookmarkStart w:id="12" w:name="_Hlk11703583"/>
      <w:r>
        <w:rPr>
          <w:rFonts w:hint="eastAsia" w:ascii="宋体" w:hAnsi="宋体" w:eastAsia="宋体"/>
          <w:color w:val="auto"/>
          <w:sz w:val="24"/>
          <w:highlight w:val="none"/>
        </w:rPr>
        <w:t>。</w:t>
      </w:r>
    </w:p>
    <w:bookmarkEnd w:id="12"/>
    <w:p w14:paraId="25BD033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1.3</w:t>
      </w:r>
      <w:r>
        <w:rPr>
          <w:rFonts w:hint="eastAsia" w:ascii="宋体" w:hAnsi="宋体" w:eastAsia="宋体"/>
          <w:color w:val="auto"/>
          <w:sz w:val="24"/>
          <w:highlight w:val="none"/>
        </w:rPr>
        <w:t>本条所指证明文件不包括对磋商文件相关部分的文字、图标的复制。</w:t>
      </w:r>
    </w:p>
    <w:p w14:paraId="0779A84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为保证公平公正，除非另有规定或说明，</w:t>
      </w:r>
      <w:r>
        <w:rPr>
          <w:rFonts w:hint="eastAsia" w:ascii="宋体" w:hAnsi="宋体" w:eastAsia="宋体"/>
          <w:color w:val="auto"/>
          <w:sz w:val="24"/>
          <w:highlight w:val="none"/>
        </w:rPr>
        <w:t>供应商</w:t>
      </w:r>
      <w:r>
        <w:rPr>
          <w:rFonts w:ascii="宋体" w:hAnsi="宋体" w:eastAsia="宋体"/>
          <w:color w:val="auto"/>
          <w:sz w:val="24"/>
          <w:highlight w:val="none"/>
        </w:rPr>
        <w:t>对同一项目</w:t>
      </w:r>
      <w:r>
        <w:rPr>
          <w:rFonts w:hint="eastAsia" w:ascii="宋体" w:hAnsi="宋体" w:eastAsia="宋体"/>
          <w:color w:val="auto"/>
          <w:sz w:val="24"/>
          <w:highlight w:val="none"/>
        </w:rPr>
        <w:t>磋商</w:t>
      </w:r>
      <w:r>
        <w:rPr>
          <w:rFonts w:ascii="宋体" w:hAnsi="宋体" w:eastAsia="宋体"/>
          <w:color w:val="auto"/>
          <w:sz w:val="24"/>
          <w:highlight w:val="none"/>
        </w:rPr>
        <w:t>时，不得同时提供</w:t>
      </w:r>
      <w:r>
        <w:rPr>
          <w:rFonts w:hint="eastAsia" w:ascii="宋体" w:hAnsi="宋体" w:eastAsia="宋体"/>
          <w:color w:val="auto"/>
          <w:sz w:val="24"/>
          <w:highlight w:val="none"/>
        </w:rPr>
        <w:t>备选磋商</w:t>
      </w:r>
      <w:r>
        <w:rPr>
          <w:rFonts w:ascii="宋体" w:hAnsi="宋体" w:eastAsia="宋体"/>
          <w:color w:val="auto"/>
          <w:sz w:val="24"/>
          <w:highlight w:val="none"/>
        </w:rPr>
        <w:t>方案。</w:t>
      </w:r>
    </w:p>
    <w:p w14:paraId="256DF5C3">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2.</w:t>
      </w:r>
      <w:r>
        <w:rPr>
          <w:rFonts w:hint="eastAsia" w:ascii="宋体" w:hAnsi="宋体" w:eastAsia="宋体"/>
          <w:b/>
          <w:color w:val="auto"/>
          <w:sz w:val="24"/>
          <w:highlight w:val="none"/>
        </w:rPr>
        <w:t>报价</w:t>
      </w:r>
    </w:p>
    <w:p w14:paraId="1B19F41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供应商</w:t>
      </w:r>
      <w:r>
        <w:rPr>
          <w:rFonts w:ascii="宋体" w:hAnsi="宋体" w:eastAsia="宋体"/>
          <w:color w:val="auto"/>
          <w:sz w:val="24"/>
          <w:highlight w:val="none"/>
        </w:rPr>
        <w:t>的报价应当包括满足本次</w:t>
      </w:r>
      <w:r>
        <w:rPr>
          <w:rFonts w:hint="eastAsia" w:ascii="宋体" w:hAnsi="宋体" w:eastAsia="宋体"/>
          <w:color w:val="auto"/>
          <w:sz w:val="24"/>
          <w:highlight w:val="none"/>
        </w:rPr>
        <w:t>磋商</w:t>
      </w:r>
      <w:r>
        <w:rPr>
          <w:rFonts w:ascii="宋体" w:hAnsi="宋体" w:eastAsia="宋体"/>
          <w:color w:val="auto"/>
          <w:sz w:val="24"/>
          <w:highlight w:val="none"/>
        </w:rPr>
        <w:t>全部采购需求所应提供的服务</w:t>
      </w:r>
      <w:r>
        <w:rPr>
          <w:rFonts w:hint="eastAsia" w:ascii="宋体" w:hAnsi="宋体" w:eastAsia="宋体"/>
          <w:color w:val="auto"/>
          <w:sz w:val="24"/>
          <w:highlight w:val="none"/>
        </w:rPr>
        <w:t>，</w:t>
      </w:r>
      <w:r>
        <w:rPr>
          <w:rFonts w:ascii="宋体" w:hAnsi="宋体" w:eastAsia="宋体"/>
          <w:color w:val="auto"/>
          <w:sz w:val="24"/>
          <w:highlight w:val="none"/>
        </w:rPr>
        <w:t>以及伴随的货物和工程</w:t>
      </w:r>
      <w:r>
        <w:rPr>
          <w:rFonts w:hint="eastAsia" w:ascii="宋体" w:hAnsi="宋体" w:eastAsia="宋体"/>
          <w:color w:val="auto"/>
          <w:sz w:val="24"/>
          <w:highlight w:val="none"/>
        </w:rPr>
        <w:t>。所有内容均应以人民币报价，供应商的磋商报价应遵守《中华人民共和国价格法》。</w:t>
      </w:r>
    </w:p>
    <w:p w14:paraId="1E7D8AE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12.</w:t>
      </w:r>
      <w:r>
        <w:rPr>
          <w:rFonts w:hint="eastAsia" w:ascii="宋体" w:hAnsi="宋体" w:eastAsia="宋体"/>
          <w:color w:val="auto"/>
          <w:sz w:val="24"/>
          <w:highlight w:val="none"/>
        </w:rPr>
        <w:t>2供应商应在分项报价表上标明分项服务、伴随的货物和工程的价格（如适用）和总价，未标明的视同包含在磋商报价中。</w:t>
      </w:r>
    </w:p>
    <w:p w14:paraId="69CE2656">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12.3除非磋商文件另有规定或经采购人同意支付的，报价均不得高于磋商文件（公告）列明的项目预算</w:t>
      </w:r>
      <w:r>
        <w:rPr>
          <w:rFonts w:ascii="Arial" w:hAnsi="Arial" w:eastAsia="宋体" w:cs="Arial"/>
          <w:color w:val="auto"/>
          <w:sz w:val="24"/>
          <w:highlight w:val="none"/>
        </w:rPr>
        <w:t>或者分项、分包最高限价</w:t>
      </w:r>
      <w:r>
        <w:rPr>
          <w:rFonts w:hint="eastAsia" w:ascii="宋体" w:hAnsi="宋体" w:eastAsia="宋体"/>
          <w:color w:val="auto"/>
          <w:sz w:val="24"/>
          <w:highlight w:val="none"/>
        </w:rPr>
        <w:t>，否则其响应文件将被认定为</w:t>
      </w:r>
      <w:r>
        <w:rPr>
          <w:rFonts w:hint="eastAsia" w:ascii="宋体" w:hAnsi="宋体" w:eastAsia="宋体"/>
          <w:b/>
          <w:bCs/>
          <w:color w:val="auto"/>
          <w:sz w:val="24"/>
          <w:highlight w:val="none"/>
        </w:rPr>
        <w:t>响应无效</w:t>
      </w:r>
      <w:r>
        <w:rPr>
          <w:rFonts w:hint="eastAsia" w:ascii="宋体" w:hAnsi="宋体" w:eastAsia="宋体"/>
          <w:color w:val="auto"/>
          <w:sz w:val="24"/>
          <w:highlight w:val="none"/>
        </w:rPr>
        <w:t>。</w:t>
      </w:r>
    </w:p>
    <w:p w14:paraId="764D3C1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12.</w:t>
      </w:r>
      <w:r>
        <w:rPr>
          <w:rFonts w:hint="eastAsia" w:ascii="宋体" w:hAnsi="宋体" w:eastAsia="宋体"/>
          <w:color w:val="auto"/>
          <w:sz w:val="24"/>
          <w:highlight w:val="none"/>
        </w:rPr>
        <w:t>4报价</w:t>
      </w:r>
      <w:r>
        <w:rPr>
          <w:rFonts w:ascii="宋体" w:hAnsi="宋体" w:eastAsia="宋体"/>
          <w:color w:val="auto"/>
          <w:sz w:val="24"/>
          <w:highlight w:val="none"/>
        </w:rPr>
        <w:t>在合同履行过程中是固定不变的，不得以任何理由予以变更。任何包含价格调整要求的</w:t>
      </w:r>
      <w:r>
        <w:rPr>
          <w:rFonts w:hint="eastAsia" w:ascii="宋体" w:hAnsi="宋体" w:eastAsia="宋体"/>
          <w:color w:val="auto"/>
          <w:sz w:val="24"/>
          <w:highlight w:val="none"/>
        </w:rPr>
        <w:t>磋商</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0EA3292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采购人不接受具有附加条件的报价。</w:t>
      </w:r>
    </w:p>
    <w:p w14:paraId="7DB6D788">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3.</w:t>
      </w:r>
      <w:r>
        <w:rPr>
          <w:rFonts w:hint="eastAsia" w:ascii="宋体" w:hAnsi="宋体" w:eastAsia="宋体"/>
          <w:b/>
          <w:color w:val="auto"/>
          <w:sz w:val="24"/>
          <w:highlight w:val="none"/>
        </w:rPr>
        <w:t>磋商保证金（如有）</w:t>
      </w:r>
    </w:p>
    <w:p w14:paraId="747FB25E">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3</w:t>
      </w:r>
      <w:r>
        <w:rPr>
          <w:rFonts w:ascii="宋体" w:hAnsi="宋体" w:eastAsia="宋体"/>
          <w:color w:val="auto"/>
          <w:sz w:val="24"/>
          <w:highlight w:val="none"/>
        </w:rPr>
        <w:t>.1</w:t>
      </w:r>
      <w:r>
        <w:rPr>
          <w:rFonts w:hint="eastAsia" w:ascii="宋体" w:hAnsi="宋体" w:eastAsia="宋体"/>
          <w:color w:val="auto"/>
          <w:sz w:val="24"/>
          <w:highlight w:val="none"/>
        </w:rPr>
        <w:t>供应商应提交</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中规定的磋商保证金，并作为其响应文件的一部分。供应商未按规定提交磋商保证金的，</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CADDF3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3.2</w:t>
      </w:r>
      <w:r>
        <w:rPr>
          <w:rFonts w:hint="eastAsia" w:ascii="宋体" w:hAnsi="宋体" w:eastAsia="宋体"/>
          <w:color w:val="auto"/>
          <w:sz w:val="24"/>
          <w:highlight w:val="none"/>
        </w:rPr>
        <w:t>供应商请注意：</w:t>
      </w:r>
    </w:p>
    <w:p w14:paraId="40F15DD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1）前次采购失败的，采购代理机构将退还</w:t>
      </w:r>
      <w:r>
        <w:rPr>
          <w:rFonts w:hint="eastAsia" w:ascii="宋体" w:hAnsi="宋体" w:eastAsia="宋体"/>
          <w:color w:val="auto"/>
          <w:sz w:val="24"/>
          <w:highlight w:val="none"/>
        </w:rPr>
        <w:t>供应商</w:t>
      </w:r>
      <w:r>
        <w:rPr>
          <w:rFonts w:ascii="宋体" w:hAnsi="宋体" w:eastAsia="宋体"/>
          <w:color w:val="auto"/>
          <w:sz w:val="24"/>
          <w:highlight w:val="none"/>
        </w:rPr>
        <w:t>的</w:t>
      </w:r>
      <w:r>
        <w:rPr>
          <w:rFonts w:hint="eastAsia" w:ascii="宋体" w:hAnsi="宋体" w:eastAsia="宋体"/>
          <w:color w:val="auto"/>
          <w:sz w:val="24"/>
          <w:highlight w:val="none"/>
        </w:rPr>
        <w:t>磋商</w:t>
      </w:r>
      <w:r>
        <w:rPr>
          <w:rFonts w:ascii="宋体" w:hAnsi="宋体" w:eastAsia="宋体"/>
          <w:color w:val="auto"/>
          <w:sz w:val="24"/>
          <w:highlight w:val="none"/>
        </w:rPr>
        <w:t>保证金。</w:t>
      </w:r>
    </w:p>
    <w:p w14:paraId="3EF98FB5">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2）采购代理机构</w:t>
      </w:r>
      <w:r>
        <w:rPr>
          <w:rFonts w:hint="eastAsia" w:ascii="宋体" w:hAnsi="宋体" w:eastAsia="宋体"/>
          <w:color w:val="auto"/>
          <w:sz w:val="24"/>
          <w:highlight w:val="none"/>
        </w:rPr>
        <w:t>磋商</w:t>
      </w:r>
      <w:r>
        <w:rPr>
          <w:rFonts w:ascii="宋体" w:hAnsi="宋体" w:eastAsia="宋体"/>
          <w:color w:val="auto"/>
          <w:sz w:val="24"/>
          <w:highlight w:val="none"/>
        </w:rPr>
        <w:t>保证金缴纳账号采用动态虚拟账号（分包项目每一个包别对应一个账号），项目采购失败后，</w:t>
      </w:r>
      <w:r>
        <w:rPr>
          <w:rFonts w:hint="eastAsia" w:ascii="宋体" w:hAnsi="宋体" w:eastAsia="宋体"/>
          <w:color w:val="auto"/>
          <w:sz w:val="24"/>
          <w:highlight w:val="none"/>
        </w:rPr>
        <w:t>磋商</w:t>
      </w:r>
      <w:r>
        <w:rPr>
          <w:rFonts w:ascii="宋体" w:hAnsi="宋体" w:eastAsia="宋体"/>
          <w:color w:val="auto"/>
          <w:sz w:val="24"/>
          <w:highlight w:val="none"/>
        </w:rPr>
        <w:t>保证金缴纳账号将会发生变化，请</w:t>
      </w:r>
      <w:r>
        <w:rPr>
          <w:rFonts w:hint="eastAsia" w:ascii="宋体" w:hAnsi="宋体" w:eastAsia="宋体"/>
          <w:color w:val="auto"/>
          <w:sz w:val="24"/>
          <w:highlight w:val="none"/>
        </w:rPr>
        <w:t>供应商</w:t>
      </w:r>
      <w:r>
        <w:rPr>
          <w:rFonts w:ascii="宋体" w:hAnsi="宋体" w:eastAsia="宋体"/>
          <w:color w:val="auto"/>
          <w:sz w:val="24"/>
          <w:highlight w:val="none"/>
        </w:rPr>
        <w:t>参与后续采购时，注意勿将</w:t>
      </w:r>
      <w:r>
        <w:rPr>
          <w:rFonts w:hint="eastAsia" w:ascii="宋体" w:hAnsi="宋体" w:eastAsia="宋体"/>
          <w:color w:val="auto"/>
          <w:sz w:val="24"/>
          <w:highlight w:val="none"/>
        </w:rPr>
        <w:t>磋商</w:t>
      </w:r>
      <w:r>
        <w:rPr>
          <w:rFonts w:ascii="宋体" w:hAnsi="宋体" w:eastAsia="宋体"/>
          <w:color w:val="auto"/>
          <w:sz w:val="24"/>
          <w:highlight w:val="none"/>
        </w:rPr>
        <w:t>保证金错交至其他项目虚拟账号或前次公告账号。</w:t>
      </w:r>
    </w:p>
    <w:p w14:paraId="57F22A3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3）凡转账到其他项目虚拟账号或本项目前次公告账号的，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4BF182C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3</w:t>
      </w:r>
      <w:r>
        <w:rPr>
          <w:rFonts w:ascii="宋体" w:hAnsi="宋体" w:eastAsia="宋体"/>
          <w:color w:val="auto"/>
          <w:sz w:val="24"/>
          <w:highlight w:val="none"/>
        </w:rPr>
        <w:t>磋商保证金缴纳人名称与供应商名称应当一致。除非磋商文件另有规定，分公司或子公司代缴磋商保证金，视同名称不一致。磋商保证金缴纳人名称与供应商名称不一致的，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11125D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4</w:t>
      </w:r>
      <w:r>
        <w:rPr>
          <w:rFonts w:ascii="宋体" w:hAnsi="宋体" w:eastAsia="宋体"/>
          <w:color w:val="auto"/>
          <w:sz w:val="24"/>
          <w:highlight w:val="none"/>
        </w:rPr>
        <w:t>联合体参加磋商的，可以由联合体中的一方或者共同提交磋商保证金。以一方名义提交磋商保证金的，对联合体各方均具有约束力。</w:t>
      </w:r>
    </w:p>
    <w:p w14:paraId="31748AB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5</w:t>
      </w:r>
      <w:r>
        <w:rPr>
          <w:rFonts w:ascii="宋体" w:hAnsi="宋体" w:eastAsia="宋体"/>
          <w:color w:val="auto"/>
          <w:sz w:val="24"/>
          <w:highlight w:val="none"/>
        </w:rPr>
        <w:t>采购代理机构将在成交通知书发出后五个工作日内退还未成交供应商的磋商保证金，在采购合同签订后五个工作日内退还成交供应商的磋商保证金</w:t>
      </w:r>
      <w:r>
        <w:rPr>
          <w:rFonts w:hint="eastAsia" w:ascii="宋体" w:hAnsi="宋体" w:eastAsia="宋体"/>
          <w:color w:val="auto"/>
          <w:sz w:val="24"/>
          <w:highlight w:val="none"/>
        </w:rPr>
        <w:t>。</w:t>
      </w:r>
    </w:p>
    <w:p w14:paraId="41CCF2FE">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6</w:t>
      </w:r>
      <w:r>
        <w:rPr>
          <w:rFonts w:ascii="宋体" w:hAnsi="宋体" w:eastAsia="宋体"/>
          <w:color w:val="auto"/>
          <w:sz w:val="24"/>
          <w:highlight w:val="none"/>
        </w:rPr>
        <w:t>因供应商自身原因导致无法及时退还的，采购人或采购代理机构将不承担相应责任。</w:t>
      </w:r>
    </w:p>
    <w:p w14:paraId="775000D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7有下列情形之一的，</w:t>
      </w:r>
      <w:r>
        <w:rPr>
          <w:rFonts w:ascii="宋体" w:hAnsi="宋体" w:eastAsia="宋体"/>
          <w:color w:val="auto"/>
          <w:sz w:val="24"/>
          <w:highlight w:val="none"/>
        </w:rPr>
        <w:t>磋商保证金不予退还：</w:t>
      </w:r>
    </w:p>
    <w:p w14:paraId="5B4AF5D3">
      <w:pPr>
        <w:wordWrap w:val="0"/>
        <w:spacing w:line="440" w:lineRule="exact"/>
        <w:ind w:firstLine="480" w:firstLineChars="200"/>
        <w:jc w:val="left"/>
        <w:rPr>
          <w:rFonts w:ascii="Arial" w:hAnsi="Arial" w:eastAsia="宋体" w:cs="Arial"/>
          <w:color w:val="auto"/>
          <w:sz w:val="24"/>
          <w:highlight w:val="none"/>
        </w:rPr>
      </w:pPr>
      <w:r>
        <w:rPr>
          <w:rFonts w:hint="eastAsia" w:ascii="Arial" w:hAnsi="Arial" w:eastAsia="宋体" w:cs="Arial"/>
          <w:color w:val="auto"/>
          <w:sz w:val="24"/>
          <w:highlight w:val="none"/>
        </w:rPr>
        <w:t>（1）供应商</w:t>
      </w:r>
      <w:r>
        <w:rPr>
          <w:rFonts w:ascii="Arial" w:hAnsi="Arial" w:eastAsia="宋体" w:cs="Arial"/>
          <w:color w:val="auto"/>
          <w:sz w:val="24"/>
          <w:highlight w:val="none"/>
        </w:rPr>
        <w:t>在</w:t>
      </w:r>
      <w:r>
        <w:rPr>
          <w:rFonts w:hint="eastAsia" w:ascii="Arial" w:hAnsi="Arial" w:eastAsia="宋体" w:cs="Arial"/>
          <w:color w:val="auto"/>
          <w:sz w:val="24"/>
          <w:highlight w:val="none"/>
        </w:rPr>
        <w:t>响应文件</w:t>
      </w:r>
      <w:r>
        <w:rPr>
          <w:rFonts w:ascii="Arial" w:hAnsi="Arial" w:eastAsia="宋体" w:cs="Arial"/>
          <w:color w:val="auto"/>
          <w:sz w:val="24"/>
          <w:highlight w:val="none"/>
        </w:rPr>
        <w:t>中提供虚假材料的；</w:t>
      </w:r>
    </w:p>
    <w:p w14:paraId="6B54790B">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2</w:t>
      </w:r>
      <w:r>
        <w:rPr>
          <w:rFonts w:ascii="Arial" w:hAnsi="Arial" w:eastAsia="宋体" w:cs="Arial"/>
          <w:color w:val="auto"/>
          <w:sz w:val="24"/>
          <w:highlight w:val="none"/>
        </w:rPr>
        <w:t>）除因不可抗力或</w:t>
      </w:r>
      <w:r>
        <w:rPr>
          <w:rFonts w:hint="eastAsia" w:ascii="Arial" w:hAnsi="Arial" w:eastAsia="宋体" w:cs="Arial"/>
          <w:color w:val="auto"/>
          <w:sz w:val="24"/>
          <w:highlight w:val="none"/>
        </w:rPr>
        <w:t>磋商</w:t>
      </w:r>
      <w:r>
        <w:rPr>
          <w:rFonts w:ascii="Arial" w:hAnsi="Arial" w:eastAsia="宋体" w:cs="Arial"/>
          <w:color w:val="auto"/>
          <w:sz w:val="24"/>
          <w:highlight w:val="none"/>
        </w:rPr>
        <w:t>文件认可的情形以外，</w:t>
      </w:r>
      <w:r>
        <w:rPr>
          <w:rFonts w:hint="eastAsia" w:ascii="Arial" w:hAnsi="Arial" w:eastAsia="宋体" w:cs="Arial"/>
          <w:color w:val="auto"/>
          <w:sz w:val="24"/>
          <w:highlight w:val="none"/>
        </w:rPr>
        <w:t>成交供应商</w:t>
      </w:r>
      <w:r>
        <w:rPr>
          <w:rFonts w:ascii="Arial" w:hAnsi="Arial" w:eastAsia="宋体" w:cs="Arial"/>
          <w:color w:val="auto"/>
          <w:sz w:val="24"/>
          <w:highlight w:val="none"/>
        </w:rPr>
        <w:t>不与采购人签订合同的；</w:t>
      </w:r>
    </w:p>
    <w:p w14:paraId="25CB374D">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3</w:t>
      </w:r>
      <w:r>
        <w:rPr>
          <w:rFonts w:ascii="Arial" w:hAnsi="Arial" w:eastAsia="宋体" w:cs="Arial"/>
          <w:color w:val="auto"/>
          <w:sz w:val="24"/>
          <w:highlight w:val="none"/>
        </w:rPr>
        <w:t>）</w:t>
      </w:r>
      <w:r>
        <w:rPr>
          <w:rFonts w:hint="eastAsia" w:ascii="Arial" w:hAnsi="Arial" w:eastAsia="宋体" w:cs="Arial"/>
          <w:color w:val="auto"/>
          <w:sz w:val="24"/>
          <w:highlight w:val="none"/>
        </w:rPr>
        <w:t>供应商</w:t>
      </w:r>
      <w:r>
        <w:rPr>
          <w:rFonts w:ascii="Arial" w:hAnsi="Arial" w:eastAsia="宋体" w:cs="Arial"/>
          <w:color w:val="auto"/>
          <w:sz w:val="24"/>
          <w:highlight w:val="none"/>
        </w:rPr>
        <w:t>与采购人、其他</w:t>
      </w:r>
      <w:r>
        <w:rPr>
          <w:rFonts w:hint="eastAsia" w:ascii="Arial" w:hAnsi="Arial" w:eastAsia="宋体" w:cs="Arial"/>
          <w:color w:val="auto"/>
          <w:sz w:val="24"/>
          <w:highlight w:val="none"/>
        </w:rPr>
        <w:t>供应商</w:t>
      </w:r>
      <w:r>
        <w:rPr>
          <w:rFonts w:ascii="Arial" w:hAnsi="Arial" w:eastAsia="宋体" w:cs="Arial"/>
          <w:color w:val="auto"/>
          <w:sz w:val="24"/>
          <w:highlight w:val="none"/>
        </w:rPr>
        <w:t>或者采购代理机构恶意串通的；</w:t>
      </w:r>
    </w:p>
    <w:p w14:paraId="066837A5">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4）</w:t>
      </w:r>
      <w:r>
        <w:rPr>
          <w:rFonts w:ascii="宋体" w:hAnsi="宋体" w:eastAsia="宋体"/>
          <w:color w:val="auto"/>
          <w:sz w:val="24"/>
          <w:highlight w:val="none"/>
        </w:rPr>
        <w:t>供应商在</w:t>
      </w:r>
      <w:r>
        <w:rPr>
          <w:rFonts w:hint="eastAsia" w:ascii="宋体" w:hAnsi="宋体" w:eastAsia="宋体"/>
          <w:color w:val="auto"/>
          <w:sz w:val="24"/>
          <w:highlight w:val="none"/>
        </w:rPr>
        <w:t>提交响应文件截止时间后</w:t>
      </w:r>
      <w:r>
        <w:rPr>
          <w:rFonts w:hint="eastAsia" w:ascii="Arial" w:hAnsi="Arial" w:eastAsia="宋体" w:cs="Arial"/>
          <w:color w:val="auto"/>
          <w:sz w:val="24"/>
          <w:highlight w:val="none"/>
        </w:rPr>
        <w:t>撤回响应</w:t>
      </w:r>
      <w:r>
        <w:rPr>
          <w:rFonts w:ascii="Arial" w:hAnsi="Arial" w:eastAsia="宋体" w:cs="Arial"/>
          <w:color w:val="auto"/>
          <w:sz w:val="24"/>
          <w:highlight w:val="none"/>
        </w:rPr>
        <w:t>文件</w:t>
      </w:r>
      <w:r>
        <w:rPr>
          <w:rFonts w:hint="eastAsia" w:ascii="Arial" w:hAnsi="Arial" w:eastAsia="宋体" w:cs="Arial"/>
          <w:color w:val="auto"/>
          <w:sz w:val="24"/>
          <w:highlight w:val="none"/>
        </w:rPr>
        <w:t>的</w:t>
      </w:r>
      <w:r>
        <w:rPr>
          <w:rFonts w:ascii="Arial" w:hAnsi="Arial" w:eastAsia="宋体" w:cs="Arial"/>
          <w:color w:val="auto"/>
          <w:sz w:val="24"/>
          <w:highlight w:val="none"/>
        </w:rPr>
        <w:t>；</w:t>
      </w:r>
    </w:p>
    <w:p w14:paraId="51D0E2B7">
      <w:pPr>
        <w:wordWrap w:val="0"/>
        <w:spacing w:line="440" w:lineRule="exact"/>
        <w:ind w:firstLine="437"/>
        <w:jc w:val="left"/>
        <w:outlineLvl w:val="3"/>
        <w:rPr>
          <w:rFonts w:ascii="宋体" w:hAnsi="宋体" w:eastAsia="宋体"/>
          <w:color w:val="auto"/>
          <w:sz w:val="24"/>
          <w:highlight w:val="none"/>
        </w:rPr>
      </w:pPr>
      <w:r>
        <w:rPr>
          <w:rFonts w:hint="eastAsia" w:ascii="Arial" w:hAnsi="Arial" w:eastAsia="宋体" w:cs="Arial"/>
          <w:color w:val="auto"/>
          <w:sz w:val="24"/>
          <w:highlight w:val="none"/>
        </w:rPr>
        <w:t>（5）</w:t>
      </w:r>
      <w:r>
        <w:rPr>
          <w:rFonts w:hint="eastAsia" w:ascii="Arial" w:hAnsi="Arial" w:eastAsia="宋体" w:cs="Arial"/>
          <w:color w:val="auto"/>
          <w:sz w:val="24"/>
          <w:highlight w:val="none"/>
          <w:u w:val="single"/>
        </w:rPr>
        <w:t>供应商</w:t>
      </w:r>
      <w:r>
        <w:rPr>
          <w:rFonts w:ascii="Arial" w:hAnsi="Arial" w:eastAsia="宋体" w:cs="Arial"/>
          <w:color w:val="auto"/>
          <w:sz w:val="24"/>
          <w:highlight w:val="none"/>
          <w:u w:val="single"/>
        </w:rPr>
        <w:t>须知前附表</w:t>
      </w:r>
      <w:r>
        <w:rPr>
          <w:rFonts w:ascii="Arial" w:hAnsi="Arial" w:eastAsia="宋体" w:cs="Arial"/>
          <w:color w:val="auto"/>
          <w:sz w:val="24"/>
          <w:highlight w:val="none"/>
        </w:rPr>
        <w:t>中规定的其他不予退还</w:t>
      </w:r>
      <w:r>
        <w:rPr>
          <w:rFonts w:hint="eastAsia" w:ascii="Arial" w:hAnsi="Arial" w:eastAsia="宋体" w:cs="Arial"/>
          <w:color w:val="auto"/>
          <w:sz w:val="24"/>
          <w:highlight w:val="none"/>
        </w:rPr>
        <w:t>磋商</w:t>
      </w:r>
      <w:r>
        <w:rPr>
          <w:rFonts w:ascii="Arial" w:hAnsi="Arial" w:eastAsia="宋体" w:cs="Arial"/>
          <w:color w:val="auto"/>
          <w:sz w:val="24"/>
          <w:highlight w:val="none"/>
        </w:rPr>
        <w:t>保证金的情形。</w:t>
      </w:r>
    </w:p>
    <w:p w14:paraId="634370D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4.</w:t>
      </w:r>
      <w:r>
        <w:rPr>
          <w:rFonts w:hint="eastAsia" w:ascii="宋体" w:hAnsi="宋体" w:eastAsia="宋体"/>
          <w:b/>
          <w:color w:val="auto"/>
          <w:sz w:val="24"/>
          <w:highlight w:val="none"/>
        </w:rPr>
        <w:t>磋商有效期</w:t>
      </w:r>
    </w:p>
    <w:p w14:paraId="442C2F69">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14.1磋商有效期为从响应文件提交截止之日算起的日历天数，磋商有效期详见</w:t>
      </w:r>
      <w:r>
        <w:rPr>
          <w:rFonts w:ascii="宋体" w:hAnsi="宋体" w:eastAsia="宋体"/>
          <w:color w:val="auto"/>
          <w:sz w:val="24"/>
          <w:highlight w:val="none"/>
          <w:u w:val="single"/>
        </w:rPr>
        <w:t>供应商须知前附表</w:t>
      </w:r>
      <w:r>
        <w:rPr>
          <w:rFonts w:ascii="宋体" w:hAnsi="宋体" w:eastAsia="宋体"/>
          <w:color w:val="auto"/>
          <w:sz w:val="24"/>
          <w:highlight w:val="none"/>
        </w:rPr>
        <w:t>。</w:t>
      </w:r>
    </w:p>
    <w:p w14:paraId="6E9C6A8B">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14.2在磋商有效期内，供应商的磋商保持有效，供应商不得要求撤销或修改其响应文件。磋商有效期不满足要求的响应，其响应文件将被认定为</w:t>
      </w:r>
      <w:r>
        <w:rPr>
          <w:rFonts w:ascii="宋体" w:hAnsi="宋体" w:eastAsia="宋体"/>
          <w:b/>
          <w:color w:val="auto"/>
          <w:sz w:val="24"/>
          <w:highlight w:val="none"/>
        </w:rPr>
        <w:t>响应无效</w:t>
      </w:r>
      <w:r>
        <w:rPr>
          <w:rFonts w:ascii="宋体" w:hAnsi="宋体" w:eastAsia="宋体"/>
          <w:color w:val="auto"/>
          <w:sz w:val="24"/>
          <w:highlight w:val="none"/>
        </w:rPr>
        <w:t>。</w:t>
      </w:r>
    </w:p>
    <w:p w14:paraId="6D6F523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14.3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D0B2F34">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5.</w:t>
      </w:r>
      <w:r>
        <w:rPr>
          <w:rFonts w:hint="eastAsia" w:ascii="宋体" w:hAnsi="宋体" w:eastAsia="宋体"/>
          <w:b/>
          <w:color w:val="auto"/>
          <w:sz w:val="24"/>
          <w:highlight w:val="none"/>
        </w:rPr>
        <w:t>响应文件的制作</w:t>
      </w:r>
    </w:p>
    <w:p w14:paraId="1715012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磋商现场提交的其他材料要求详见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6697A479">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6.</w:t>
      </w:r>
      <w:r>
        <w:rPr>
          <w:rFonts w:hint="eastAsia" w:ascii="宋体" w:hAnsi="宋体" w:eastAsia="宋体"/>
          <w:b/>
          <w:color w:val="auto"/>
          <w:sz w:val="24"/>
          <w:highlight w:val="none"/>
        </w:rPr>
        <w:t>响应文件提交截止时间</w:t>
      </w:r>
    </w:p>
    <w:p w14:paraId="5B9EDB9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16.1供应商应在</w:t>
      </w:r>
      <w:r>
        <w:rPr>
          <w:rFonts w:ascii="宋体" w:hAnsi="宋体" w:eastAsia="宋体"/>
          <w:color w:val="auto"/>
          <w:sz w:val="24"/>
          <w:highlight w:val="none"/>
          <w:u w:val="single"/>
        </w:rPr>
        <w:t>供应商须知前附表</w:t>
      </w:r>
      <w:r>
        <w:rPr>
          <w:rFonts w:ascii="宋体" w:hAnsi="宋体" w:eastAsia="宋体"/>
          <w:color w:val="auto"/>
          <w:sz w:val="24"/>
          <w:highlight w:val="none"/>
        </w:rPr>
        <w:t>中规定的</w:t>
      </w:r>
      <w:r>
        <w:rPr>
          <w:rFonts w:hint="eastAsia" w:ascii="宋体" w:hAnsi="宋体" w:eastAsia="宋体"/>
          <w:color w:val="auto"/>
          <w:sz w:val="24"/>
          <w:highlight w:val="none"/>
        </w:rPr>
        <w:t>响应文件提交</w:t>
      </w:r>
      <w:r>
        <w:rPr>
          <w:rFonts w:ascii="宋体" w:hAnsi="宋体" w:eastAsia="宋体"/>
          <w:color w:val="auto"/>
          <w:sz w:val="24"/>
          <w:highlight w:val="none"/>
        </w:rPr>
        <w:t>截止时间前提交响应文件。</w:t>
      </w:r>
    </w:p>
    <w:p w14:paraId="3D441D10">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16.</w:t>
      </w:r>
      <w:r>
        <w:rPr>
          <w:rFonts w:hint="eastAsia" w:ascii="宋体" w:hAnsi="宋体" w:eastAsia="宋体"/>
          <w:color w:val="auto"/>
          <w:sz w:val="24"/>
          <w:highlight w:val="none"/>
        </w:rPr>
        <w:t>2</w:t>
      </w:r>
      <w:r>
        <w:rPr>
          <w:rFonts w:ascii="宋体" w:hAnsi="宋体" w:eastAsia="宋体"/>
          <w:color w:val="auto"/>
          <w:sz w:val="24"/>
          <w:highlight w:val="none"/>
        </w:rPr>
        <w:t>采购人和采购代理机构延迟</w:t>
      </w:r>
      <w:r>
        <w:rPr>
          <w:rFonts w:hint="eastAsia" w:ascii="宋体" w:hAnsi="宋体" w:eastAsia="宋体"/>
          <w:color w:val="auto"/>
          <w:sz w:val="24"/>
          <w:highlight w:val="none"/>
        </w:rPr>
        <w:t>响应文件提交截止时间的，</w:t>
      </w:r>
      <w:r>
        <w:rPr>
          <w:rFonts w:ascii="宋体" w:hAnsi="宋体" w:eastAsia="宋体"/>
          <w:color w:val="auto"/>
          <w:sz w:val="24"/>
          <w:highlight w:val="none"/>
        </w:rPr>
        <w:t>采购人、采购代理机构和供应商受</w:t>
      </w:r>
      <w:r>
        <w:rPr>
          <w:rFonts w:hint="eastAsia" w:ascii="宋体" w:hAnsi="宋体" w:eastAsia="宋体"/>
          <w:color w:val="auto"/>
          <w:sz w:val="24"/>
          <w:highlight w:val="none"/>
        </w:rPr>
        <w:t>响应文件提交截止时间</w:t>
      </w:r>
      <w:r>
        <w:rPr>
          <w:rFonts w:ascii="宋体" w:hAnsi="宋体" w:eastAsia="宋体"/>
          <w:color w:val="auto"/>
          <w:sz w:val="24"/>
          <w:highlight w:val="none"/>
        </w:rPr>
        <w:t>制约的所有权利和义务均应延长至新的截止时间。</w:t>
      </w:r>
    </w:p>
    <w:p w14:paraId="096D92DA">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7.</w:t>
      </w:r>
      <w:r>
        <w:rPr>
          <w:rFonts w:hint="eastAsia" w:ascii="宋体" w:hAnsi="宋体" w:eastAsia="宋体"/>
          <w:b/>
          <w:color w:val="auto"/>
          <w:sz w:val="24"/>
          <w:highlight w:val="none"/>
        </w:rPr>
        <w:t>响应文件的提交、修改与撤回</w:t>
      </w:r>
    </w:p>
    <w:p w14:paraId="2A8CAAB6">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17</w:t>
      </w:r>
      <w:r>
        <w:rPr>
          <w:rFonts w:hint="eastAsia" w:ascii="宋体" w:hAnsi="宋体" w:eastAsia="宋体"/>
          <w:color w:val="auto"/>
          <w:sz w:val="24"/>
          <w:highlight w:val="none"/>
        </w:rPr>
        <w:t>.1供应商应当在供应商须知前附表中规定的响应文件提交截止时间前</w:t>
      </w:r>
      <w:r>
        <w:rPr>
          <w:rFonts w:ascii="宋体" w:hAnsi="宋体" w:eastAsia="宋体"/>
          <w:color w:val="auto"/>
          <w:sz w:val="24"/>
          <w:highlight w:val="none"/>
        </w:rPr>
        <w:t>，</w:t>
      </w:r>
      <w:r>
        <w:rPr>
          <w:rFonts w:hint="eastAsia" w:ascii="宋体" w:hAnsi="宋体" w:eastAsia="宋体"/>
          <w:color w:val="auto"/>
          <w:sz w:val="24"/>
          <w:highlight w:val="none"/>
        </w:rPr>
        <w:t>送至开标现场。</w:t>
      </w:r>
    </w:p>
    <w:p w14:paraId="00CFB55F">
      <w:pPr>
        <w:wordWrap w:val="0"/>
        <w:spacing w:line="440" w:lineRule="exact"/>
        <w:ind w:firstLine="437"/>
        <w:jc w:val="left"/>
        <w:outlineLvl w:val="3"/>
        <w:rPr>
          <w:rFonts w:ascii="宋体" w:hAnsi="宋体" w:eastAsia="宋体"/>
          <w:color w:val="auto"/>
          <w:sz w:val="24"/>
          <w:highlight w:val="none"/>
        </w:rPr>
      </w:pPr>
      <w:r>
        <w:rPr>
          <w:rFonts w:hint="eastAsia" w:ascii="宋体" w:hAnsi="宋体" w:eastAsia="宋体"/>
          <w:color w:val="auto"/>
          <w:sz w:val="24"/>
          <w:highlight w:val="none"/>
        </w:rPr>
        <w:t>17.2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1C0ED921">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8.</w:t>
      </w:r>
      <w:r>
        <w:rPr>
          <w:rFonts w:hint="eastAsia" w:ascii="宋体" w:hAnsi="宋体" w:eastAsia="宋体"/>
          <w:b/>
          <w:color w:val="auto"/>
          <w:sz w:val="24"/>
          <w:highlight w:val="none"/>
        </w:rPr>
        <w:t>磋商小组</w:t>
      </w:r>
    </w:p>
    <w:p w14:paraId="0F27B6F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.1本项目将依法组建磋商小组，磋商小组成员由3人以上</w:t>
      </w:r>
      <w:r>
        <w:rPr>
          <w:rFonts w:hint="eastAsia" w:ascii="宋体" w:hAnsi="宋体" w:eastAsia="宋体"/>
          <w:color w:val="auto"/>
          <w:sz w:val="24"/>
          <w:highlight w:val="none"/>
        </w:rPr>
        <w:t>（含）</w:t>
      </w:r>
      <w:r>
        <w:rPr>
          <w:rFonts w:ascii="宋体" w:hAnsi="宋体" w:eastAsia="宋体"/>
          <w:color w:val="auto"/>
          <w:sz w:val="24"/>
          <w:highlight w:val="none"/>
        </w:rPr>
        <w:t>单数组成，磋商小组及其成员应当依照有关规定履行相关职责和义务。</w:t>
      </w:r>
    </w:p>
    <w:p w14:paraId="4BA4C08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.2磋商小组依法对响应文件进行评审，并根据磋商文件规定的程序、评定成交的标准等事项与实质性响应磋商文件要求的供应商进行磋商。</w:t>
      </w:r>
    </w:p>
    <w:p w14:paraId="7D71890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.3磋商小组应当从质量和服务均能满足磋商文件实质性响应要求的供应商中，按照评审</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和标准推荐</w:t>
      </w:r>
      <w:r>
        <w:rPr>
          <w:rFonts w:ascii="宋体" w:hAnsi="宋体" w:eastAsia="宋体"/>
          <w:color w:val="auto"/>
          <w:sz w:val="24"/>
          <w:highlight w:val="none"/>
        </w:rPr>
        <w:t>成交候选供应商，并编写</w:t>
      </w:r>
      <w:r>
        <w:rPr>
          <w:rFonts w:hint="eastAsia" w:ascii="宋体" w:hAnsi="宋体" w:eastAsia="宋体"/>
          <w:color w:val="auto"/>
          <w:sz w:val="24"/>
          <w:highlight w:val="none"/>
        </w:rPr>
        <w:t>评审</w:t>
      </w:r>
      <w:r>
        <w:rPr>
          <w:rFonts w:ascii="宋体" w:hAnsi="宋体" w:eastAsia="宋体"/>
          <w:color w:val="auto"/>
          <w:sz w:val="24"/>
          <w:highlight w:val="none"/>
        </w:rPr>
        <w:t>报告。</w:t>
      </w:r>
    </w:p>
    <w:p w14:paraId="64CEEED9">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19.响应文件的评审与磋商</w:t>
      </w:r>
    </w:p>
    <w:p w14:paraId="1E6E8F5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w:t>
      </w:r>
      <w:r>
        <w:rPr>
          <w:rFonts w:ascii="宋体" w:hAnsi="宋体" w:eastAsia="宋体"/>
          <w:color w:val="auto"/>
          <w:sz w:val="24"/>
          <w:highlight w:val="none"/>
        </w:rPr>
        <w:t>.</w:t>
      </w:r>
      <w:r>
        <w:rPr>
          <w:rFonts w:hint="eastAsia" w:ascii="宋体" w:hAnsi="宋体" w:eastAsia="宋体"/>
          <w:color w:val="auto"/>
          <w:sz w:val="24"/>
          <w:highlight w:val="none"/>
        </w:rPr>
        <w:t>1采购人和采购代理机构将在</w:t>
      </w:r>
      <w:r>
        <w:rPr>
          <w:rFonts w:ascii="宋体" w:hAnsi="宋体" w:eastAsia="宋体"/>
          <w:color w:val="auto"/>
          <w:sz w:val="24"/>
          <w:highlight w:val="none"/>
          <w:u w:val="single"/>
        </w:rPr>
        <w:t>供应商须知前附表</w:t>
      </w:r>
      <w:r>
        <w:rPr>
          <w:rFonts w:hint="eastAsia" w:ascii="宋体" w:hAnsi="宋体" w:eastAsia="宋体"/>
          <w:color w:val="auto"/>
          <w:sz w:val="24"/>
          <w:highlight w:val="none"/>
        </w:rPr>
        <w:t>规定的时间和地点组织磋商。</w:t>
      </w:r>
    </w:p>
    <w:p w14:paraId="68FD6D0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19.2磋商采用</w:t>
      </w:r>
      <w:r>
        <w:rPr>
          <w:rFonts w:ascii="宋体" w:hAnsi="宋体" w:eastAsia="宋体"/>
          <w:color w:val="auto"/>
          <w:sz w:val="24"/>
          <w:highlight w:val="none"/>
          <w:u w:val="single"/>
        </w:rPr>
        <w:t>供应商须知前附表</w:t>
      </w:r>
      <w:r>
        <w:rPr>
          <w:rFonts w:hint="eastAsia" w:ascii="宋体" w:hAnsi="宋体" w:eastAsia="宋体"/>
          <w:color w:val="auto"/>
          <w:sz w:val="24"/>
          <w:highlight w:val="none"/>
        </w:rPr>
        <w:t>规定的方法评审。</w:t>
      </w:r>
    </w:p>
    <w:p w14:paraId="04E126F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综合评分法，是指响应文件满足磋商文件全部实质性要求且按评审因素的量化指标评审得分最高的供应商为成交候选供应商的评审方法。</w:t>
      </w:r>
    </w:p>
    <w:p w14:paraId="51807BA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19.3磋商小组将按照磋商文件规定的</w:t>
      </w:r>
      <w:r>
        <w:rPr>
          <w:rFonts w:ascii="宋体" w:hAnsi="宋体" w:eastAsia="宋体"/>
          <w:color w:val="auto"/>
          <w:sz w:val="24"/>
          <w:highlight w:val="none"/>
        </w:rPr>
        <w:t>评审</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和标准对供应商独立进行评审。评审程序如下：</w:t>
      </w:r>
    </w:p>
    <w:p w14:paraId="70531F5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19.3.1</w:t>
      </w:r>
      <w:r>
        <w:rPr>
          <w:rFonts w:hint="eastAsia" w:ascii="宋体" w:hAnsi="宋体" w:eastAsia="宋体"/>
          <w:b/>
          <w:color w:val="auto"/>
          <w:sz w:val="24"/>
          <w:highlight w:val="none"/>
        </w:rPr>
        <w:t>初审</w:t>
      </w:r>
      <w:r>
        <w:rPr>
          <w:rFonts w:hint="eastAsia" w:ascii="宋体" w:hAnsi="宋体" w:eastAsia="宋体"/>
          <w:color w:val="auto"/>
          <w:sz w:val="24"/>
          <w:highlight w:val="none"/>
        </w:rPr>
        <w:t>。磋商小组对供应商必须满足和实质性响应的内容进行评审，供应商未实质性响应磋商文件要求导致响应无效的，磋商小组将以书面询标的方式告知有关供应商。</w:t>
      </w:r>
    </w:p>
    <w:p w14:paraId="41026D9C">
      <w:pPr>
        <w:wordWrap w:val="0"/>
        <w:spacing w:line="440" w:lineRule="exact"/>
        <w:ind w:firstLine="470" w:firstLineChars="196"/>
        <w:jc w:val="left"/>
        <w:rPr>
          <w:rFonts w:ascii="宋体" w:hAnsi="宋体" w:eastAsia="宋体"/>
          <w:color w:val="auto"/>
          <w:sz w:val="24"/>
          <w:highlight w:val="none"/>
        </w:rPr>
      </w:pPr>
      <w:r>
        <w:rPr>
          <w:rFonts w:hint="eastAsia" w:ascii="宋体" w:hAnsi="宋体" w:eastAsia="宋体"/>
          <w:color w:val="auto"/>
          <w:sz w:val="24"/>
          <w:highlight w:val="none"/>
        </w:rPr>
        <w:t>供应商存在不良信用记录的，其响应文件将被认定为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55EB462C">
      <w:pPr>
        <w:wordWrap w:val="0"/>
        <w:spacing w:line="440" w:lineRule="exact"/>
        <w:ind w:firstLine="435"/>
        <w:jc w:val="left"/>
        <w:rPr>
          <w:rFonts w:ascii="宋体" w:hAnsi="宋体" w:eastAsia="宋体"/>
          <w:color w:val="auto"/>
          <w:sz w:val="24"/>
          <w:szCs w:val="18"/>
          <w:highlight w:val="none"/>
        </w:rPr>
      </w:pPr>
      <w:r>
        <w:rPr>
          <w:rFonts w:hint="eastAsia" w:ascii="宋体" w:hAnsi="宋体" w:eastAsia="宋体"/>
          <w:color w:val="auto"/>
          <w:sz w:val="24"/>
          <w:highlight w:val="none"/>
        </w:rPr>
        <w:t>19.3.1.1不良信用记录指：</w:t>
      </w:r>
      <w:r>
        <w:rPr>
          <w:rFonts w:hint="eastAsia" w:ascii="宋体" w:hAnsi="宋体" w:eastAsia="宋体"/>
          <w:color w:val="auto"/>
          <w:sz w:val="24"/>
          <w:szCs w:val="18"/>
          <w:highlight w:val="none"/>
        </w:rPr>
        <w:t>（1）供应商被人民法院列入失信被执行人；（2）供应商被税务部门列入重大税收违法案件当事人名单；（3）供应商被政府采购监管部门列入政府采购严重违法失信行为记录名单。</w:t>
      </w:r>
    </w:p>
    <w:p w14:paraId="11252D76">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以联合体形式参加磋商的，联合体任何成员存在以上不良信用记录的，联合体磋商将被认定为响应无效。</w:t>
      </w:r>
    </w:p>
    <w:p w14:paraId="40AA6789">
      <w:pPr>
        <w:kinsoku w:val="0"/>
        <w:autoSpaceDE w:val="0"/>
        <w:autoSpaceDN w:val="0"/>
        <w:spacing w:line="360" w:lineRule="auto"/>
        <w:ind w:firstLine="437"/>
        <w:jc w:val="left"/>
        <w:rPr>
          <w:rFonts w:ascii="宋体" w:hAnsi="宋体" w:eastAsia="宋体"/>
          <w:color w:val="auto"/>
          <w:sz w:val="24"/>
          <w:highlight w:val="none"/>
        </w:rPr>
      </w:pPr>
      <w:r>
        <w:rPr>
          <w:rFonts w:hint="eastAsia" w:ascii="宋体" w:hAnsi="宋体" w:eastAsia="宋体"/>
          <w:color w:val="auto"/>
          <w:sz w:val="24"/>
          <w:highlight w:val="none"/>
        </w:rPr>
        <w:t>19.3.1.2信用信息查询渠道：</w:t>
      </w:r>
      <w:r>
        <w:rPr>
          <w:rFonts w:hint="eastAsia" w:ascii="宋体" w:hAnsi="宋体" w:eastAsia="宋体"/>
          <w:color w:val="auto"/>
          <w:sz w:val="24"/>
          <w:highlight w:val="none"/>
        </w:rPr>
        <w:t>“信用中国”网站（www.creditchina.gov.cn）、中国政府采购网（www.ccgp.gov.cn）</w:t>
      </w:r>
      <w:r>
        <w:rPr>
          <w:rFonts w:hint="eastAsia" w:ascii="宋体" w:hAnsi="宋体" w:eastAsia="宋体"/>
          <w:color w:val="auto"/>
          <w:sz w:val="24"/>
          <w:highlight w:val="none"/>
        </w:rPr>
        <w:t>。</w:t>
      </w:r>
    </w:p>
    <w:p w14:paraId="25EA219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19.3.1.3信用信息记录方式：供应商自行承诺。</w:t>
      </w:r>
    </w:p>
    <w:p w14:paraId="5EE9C99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19.3.4</w:t>
      </w:r>
      <w:r>
        <w:rPr>
          <w:rFonts w:hint="eastAsia" w:ascii="宋体" w:hAnsi="宋体" w:eastAsia="宋体"/>
          <w:b/>
          <w:color w:val="auto"/>
          <w:sz w:val="24"/>
          <w:highlight w:val="none"/>
        </w:rPr>
        <w:t>综合评分</w:t>
      </w:r>
      <w:r>
        <w:rPr>
          <w:rFonts w:hint="eastAsia" w:ascii="宋体" w:hAnsi="宋体" w:eastAsia="宋体"/>
          <w:color w:val="auto"/>
          <w:sz w:val="24"/>
          <w:highlight w:val="none"/>
        </w:rPr>
        <w:t>。磋商小组只对通过初审，实质上响应磋商文件要求的响应文件进行综合评分。由磋商小组采用综合评分法对提交报价的供应商的响应文件和报价进行综合评分。</w:t>
      </w:r>
    </w:p>
    <w:p w14:paraId="1C7A31C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19.4相关说明。</w:t>
      </w:r>
    </w:p>
    <w:p w14:paraId="455DCE6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 xml:space="preserve">19.4.1为保证磋商活动顺利进行，供应商可派相关技术人员进行网上或现场答疑；因授权代表联系不上、没有及时登录系统等情形而无法进行答疑的，供应商自行承担相关风险。 </w:t>
      </w:r>
    </w:p>
    <w:p w14:paraId="5E42810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19.4.2磋</w:t>
      </w:r>
      <w:r>
        <w:rPr>
          <w:rFonts w:ascii="宋体" w:hAnsi="宋体" w:eastAsia="宋体"/>
          <w:color w:val="auto"/>
          <w:sz w:val="24"/>
          <w:highlight w:val="none"/>
        </w:rPr>
        <w:t>商小组根据与</w:t>
      </w:r>
      <w:r>
        <w:rPr>
          <w:rFonts w:hint="eastAsia" w:ascii="宋体" w:hAnsi="宋体" w:eastAsia="宋体"/>
          <w:color w:val="auto"/>
          <w:sz w:val="24"/>
          <w:highlight w:val="none"/>
        </w:rPr>
        <w:t>供应商</w:t>
      </w:r>
      <w:r>
        <w:rPr>
          <w:rFonts w:ascii="宋体" w:hAnsi="宋体" w:eastAsia="宋体"/>
          <w:color w:val="auto"/>
          <w:sz w:val="24"/>
          <w:highlight w:val="none"/>
        </w:rPr>
        <w:t>磋商情况可能实质性变动</w:t>
      </w:r>
      <w:r>
        <w:rPr>
          <w:rFonts w:hint="eastAsia" w:ascii="宋体" w:hAnsi="宋体" w:eastAsia="宋体"/>
          <w:color w:val="auto"/>
          <w:sz w:val="24"/>
          <w:highlight w:val="none"/>
        </w:rPr>
        <w:t>磋商文件</w:t>
      </w:r>
      <w:r>
        <w:rPr>
          <w:rFonts w:ascii="宋体" w:hAnsi="宋体" w:eastAsia="宋体"/>
          <w:color w:val="auto"/>
          <w:sz w:val="24"/>
          <w:highlight w:val="none"/>
        </w:rPr>
        <w:t>的内容，包括采购需求中的技术、服务要求以及合同草案条款。磋商文件有实质性变动的，</w:t>
      </w:r>
      <w:r>
        <w:rPr>
          <w:rFonts w:hint="eastAsia" w:ascii="宋体" w:hAnsi="宋体" w:eastAsia="宋体"/>
          <w:color w:val="auto"/>
          <w:sz w:val="24"/>
          <w:highlight w:val="none"/>
        </w:rPr>
        <w:t>经采购人代表确认作为磋商文件的有效组成部分，</w:t>
      </w:r>
      <w:r>
        <w:rPr>
          <w:rFonts w:ascii="宋体" w:hAnsi="宋体" w:eastAsia="宋体"/>
          <w:color w:val="auto"/>
          <w:sz w:val="24"/>
          <w:highlight w:val="none"/>
        </w:rPr>
        <w:t>磋商小组</w:t>
      </w:r>
      <w:r>
        <w:rPr>
          <w:rFonts w:hint="eastAsia" w:ascii="宋体" w:hAnsi="宋体" w:eastAsia="宋体"/>
          <w:color w:val="auto"/>
          <w:sz w:val="24"/>
          <w:highlight w:val="none"/>
        </w:rPr>
        <w:t>将</w:t>
      </w:r>
      <w:r>
        <w:rPr>
          <w:rFonts w:ascii="宋体" w:hAnsi="宋体" w:eastAsia="宋体"/>
          <w:color w:val="auto"/>
          <w:sz w:val="24"/>
          <w:highlight w:val="none"/>
        </w:rPr>
        <w:t>以书面形式通知所有参加磋商的供应商。</w:t>
      </w:r>
    </w:p>
    <w:p w14:paraId="65569160">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19.4.3磋商过程中，磋商小组发现供应商的报价或者某些分项报价明显不合理或者低于成本，有可能影响商品质量和不能诚信履约的，应当要求其在规定的期限内提供书面文件予以解释说明，并提交相关证明材料；供应商</w:t>
      </w:r>
      <w:r>
        <w:rPr>
          <w:rFonts w:ascii="宋体" w:hAnsi="宋体" w:eastAsia="宋体"/>
          <w:color w:val="auto"/>
          <w:sz w:val="24"/>
          <w:highlight w:val="none"/>
        </w:rPr>
        <w:t>不能证明其报价合理性的，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0AFE2DC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19.4.4</w:t>
      </w:r>
      <w:r>
        <w:rPr>
          <w:rFonts w:ascii="宋体" w:hAnsi="宋体" w:eastAsia="宋体"/>
          <w:color w:val="auto"/>
          <w:sz w:val="24"/>
          <w:highlight w:val="none"/>
        </w:rPr>
        <w:t>无论何种原因，即使供应商</w:t>
      </w:r>
      <w:r>
        <w:rPr>
          <w:rFonts w:hint="eastAsia" w:ascii="宋体" w:hAnsi="宋体" w:eastAsia="宋体"/>
          <w:color w:val="auto"/>
          <w:sz w:val="24"/>
          <w:highlight w:val="none"/>
        </w:rPr>
        <w:t>磋商</w:t>
      </w:r>
      <w:r>
        <w:rPr>
          <w:rFonts w:ascii="宋体" w:hAnsi="宋体" w:eastAsia="宋体"/>
          <w:color w:val="auto"/>
          <w:sz w:val="24"/>
          <w:highlight w:val="none"/>
        </w:rPr>
        <w:t>时携带了证书材料的原件，但响应文件中未提供与之内容完全一致的</w:t>
      </w:r>
      <w:r>
        <w:rPr>
          <w:rFonts w:hint="eastAsia" w:ascii="宋体" w:hAnsi="宋体" w:eastAsia="宋体" w:cs="宋体"/>
          <w:color w:val="auto"/>
          <w:sz w:val="24"/>
          <w:szCs w:val="24"/>
          <w:highlight w:val="none"/>
        </w:rPr>
        <w:t>扫描件</w:t>
      </w:r>
      <w:r>
        <w:rPr>
          <w:rFonts w:ascii="宋体" w:hAnsi="宋体" w:eastAsia="宋体"/>
          <w:color w:val="auto"/>
          <w:sz w:val="24"/>
          <w:highlight w:val="none"/>
        </w:rPr>
        <w:t>的，</w:t>
      </w:r>
      <w:r>
        <w:rPr>
          <w:rFonts w:hint="eastAsia" w:ascii="宋体" w:hAnsi="宋体" w:eastAsia="宋体"/>
          <w:color w:val="auto"/>
          <w:sz w:val="24"/>
          <w:highlight w:val="none"/>
        </w:rPr>
        <w:t>磋商</w:t>
      </w:r>
      <w:r>
        <w:rPr>
          <w:rFonts w:ascii="宋体" w:hAnsi="宋体" w:eastAsia="宋体"/>
          <w:color w:val="auto"/>
          <w:sz w:val="24"/>
          <w:highlight w:val="none"/>
        </w:rPr>
        <w:t>小组可以视同其未提供。</w:t>
      </w:r>
    </w:p>
    <w:p w14:paraId="2780635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19.4.5磋商</w:t>
      </w:r>
      <w:r>
        <w:rPr>
          <w:rFonts w:ascii="宋体" w:hAnsi="宋体" w:eastAsia="宋体"/>
          <w:color w:val="auto"/>
          <w:sz w:val="24"/>
          <w:highlight w:val="none"/>
        </w:rPr>
        <w:t>小组决定响应文件的响应性及符合性只根据响应文件本身的内容，而不寻求其他外部证据。</w:t>
      </w:r>
    </w:p>
    <w:p w14:paraId="3A4CBE6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供应商</w:t>
      </w:r>
      <w:r>
        <w:rPr>
          <w:rFonts w:hint="eastAsia" w:ascii="宋体" w:hAnsi="宋体" w:eastAsia="宋体"/>
          <w:color w:val="auto"/>
          <w:sz w:val="24"/>
          <w:highlight w:val="none"/>
        </w:rPr>
        <w:t>授权</w:t>
      </w:r>
      <w:r>
        <w:rPr>
          <w:rFonts w:ascii="宋体" w:hAnsi="宋体" w:eastAsia="宋体"/>
          <w:color w:val="auto"/>
          <w:sz w:val="24"/>
          <w:highlight w:val="none"/>
        </w:rPr>
        <w:t>代表对</w:t>
      </w:r>
      <w:r>
        <w:rPr>
          <w:rFonts w:hint="eastAsia" w:ascii="宋体" w:hAnsi="宋体" w:eastAsia="宋体"/>
          <w:color w:val="auto"/>
          <w:sz w:val="24"/>
          <w:highlight w:val="none"/>
        </w:rPr>
        <w:t>磋商过程</w:t>
      </w:r>
      <w:r>
        <w:rPr>
          <w:rFonts w:ascii="宋体" w:hAnsi="宋体" w:eastAsia="宋体"/>
          <w:color w:val="auto"/>
          <w:sz w:val="24"/>
          <w:highlight w:val="none"/>
        </w:rPr>
        <w:t>有疑义，以及认为采购人、采购代理机构相关工作人员有需要回避的情形的，应当场提出询问或者回避申请</w:t>
      </w:r>
      <w:r>
        <w:rPr>
          <w:rFonts w:hint="eastAsia" w:ascii="宋体" w:hAnsi="宋体" w:eastAsia="宋体"/>
          <w:color w:val="auto"/>
          <w:sz w:val="24"/>
          <w:highlight w:val="none"/>
        </w:rPr>
        <w:t>，并说明理由。</w:t>
      </w:r>
    </w:p>
    <w:p w14:paraId="559C48C8">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20</w:t>
      </w:r>
      <w:r>
        <w:rPr>
          <w:rFonts w:ascii="宋体" w:hAnsi="宋体" w:eastAsia="宋体"/>
          <w:b/>
          <w:color w:val="auto"/>
          <w:sz w:val="24"/>
          <w:highlight w:val="none"/>
        </w:rPr>
        <w:t>.</w:t>
      </w:r>
      <w:r>
        <w:rPr>
          <w:rFonts w:hint="eastAsia" w:ascii="宋体" w:hAnsi="宋体" w:eastAsia="宋体"/>
          <w:b/>
          <w:color w:val="auto"/>
          <w:sz w:val="24"/>
          <w:highlight w:val="none"/>
        </w:rPr>
        <w:t>磋商异常及处理</w:t>
      </w:r>
    </w:p>
    <w:p w14:paraId="5128D338">
      <w:pPr>
        <w:wordWrap w:val="0"/>
        <w:spacing w:line="440" w:lineRule="exact"/>
        <w:ind w:firstLine="435"/>
        <w:jc w:val="left"/>
        <w:rPr>
          <w:rFonts w:ascii="宋体" w:hAnsi="宋体" w:eastAsia="宋体"/>
          <w:b/>
          <w:bCs/>
          <w:color w:val="auto"/>
          <w:sz w:val="24"/>
          <w:highlight w:val="none"/>
        </w:rPr>
      </w:pPr>
      <w:r>
        <w:rPr>
          <w:rFonts w:hint="eastAsia" w:ascii="宋体" w:hAnsi="宋体" w:eastAsia="宋体"/>
          <w:b/>
          <w:bCs/>
          <w:color w:val="auto"/>
          <w:sz w:val="24"/>
          <w:highlight w:val="none"/>
        </w:rPr>
        <w:t>20.1终止磋商</w:t>
      </w:r>
    </w:p>
    <w:p w14:paraId="32108B97">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出现下列情况之一时，采购人和采购代理机构有权宣布终止磋商采购，并将理由通知所有供应商：</w:t>
      </w:r>
    </w:p>
    <w:p w14:paraId="292EB881">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（1）有效供应商数量不足3家的（</w:t>
      </w:r>
      <w:r>
        <w:rPr>
          <w:rFonts w:hint="eastAsia" w:ascii="宋体" w:hAnsi="宋体" w:eastAsia="宋体"/>
          <w:b/>
          <w:bCs/>
          <w:color w:val="auto"/>
          <w:sz w:val="24"/>
          <w:highlight w:val="none"/>
        </w:rPr>
        <w:t>20.2继续磋商</w:t>
      </w:r>
      <w:r>
        <w:rPr>
          <w:rFonts w:hint="eastAsia" w:ascii="宋体" w:hAnsi="宋体" w:eastAsia="宋体"/>
          <w:color w:val="auto"/>
          <w:sz w:val="24"/>
          <w:highlight w:val="none"/>
        </w:rPr>
        <w:t>的除外）；</w:t>
      </w:r>
    </w:p>
    <w:p w14:paraId="2613534A">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3ACE8CC">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（3）因重大变故，采购任务取消的；</w:t>
      </w:r>
    </w:p>
    <w:p w14:paraId="79890930">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（4）其他情形。</w:t>
      </w:r>
    </w:p>
    <w:p w14:paraId="164EF183">
      <w:pPr>
        <w:wordWrap w:val="0"/>
        <w:spacing w:line="360" w:lineRule="auto"/>
        <w:ind w:firstLine="435"/>
        <w:jc w:val="left"/>
        <w:rPr>
          <w:rFonts w:ascii="宋体" w:hAnsi="宋体" w:eastAsia="宋体"/>
          <w:color w:val="auto"/>
          <w:sz w:val="24"/>
          <w:highlight w:val="none"/>
        </w:rPr>
      </w:pPr>
      <w:r>
        <w:rPr>
          <w:rFonts w:hint="eastAsia" w:ascii="宋体" w:hAnsi="宋体" w:eastAsia="宋体"/>
          <w:b/>
          <w:bCs/>
          <w:color w:val="auto"/>
          <w:sz w:val="24"/>
          <w:highlight w:val="none"/>
        </w:rPr>
        <w:t>20.2继续磋商</w:t>
      </w:r>
    </w:p>
    <w:p w14:paraId="4CD02000">
      <w:pPr>
        <w:wordWrap w:val="0"/>
        <w:spacing w:line="360" w:lineRule="auto"/>
        <w:ind w:firstLine="437"/>
        <w:jc w:val="left"/>
        <w:outlineLvl w:val="3"/>
        <w:rPr>
          <w:rFonts w:ascii="Arial" w:hAnsi="Arial" w:eastAsia="宋体" w:cs="Arial"/>
          <w:color w:val="auto"/>
          <w:sz w:val="24"/>
          <w:highlight w:val="none"/>
        </w:rPr>
      </w:pPr>
      <w:r>
        <w:rPr>
          <w:rFonts w:hint="eastAsia" w:ascii="Arial" w:hAnsi="Arial" w:eastAsia="宋体" w:cs="Arial"/>
          <w:color w:val="auto"/>
          <w:sz w:val="24"/>
          <w:highlight w:val="none"/>
        </w:rPr>
        <w:t>提交响应文件的供应商或有效供应商数量不足3家时，经磋商小组建议、采购人同意，可继续磋商。</w:t>
      </w:r>
    </w:p>
    <w:p w14:paraId="413FD4B3">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1</w:t>
      </w:r>
      <w:r>
        <w:rPr>
          <w:rFonts w:ascii="宋体" w:hAnsi="宋体" w:eastAsia="宋体"/>
          <w:b/>
          <w:color w:val="auto"/>
          <w:sz w:val="24"/>
          <w:highlight w:val="none"/>
        </w:rPr>
        <w:t>.响应文件的澄清、说明或</w:t>
      </w:r>
      <w:r>
        <w:rPr>
          <w:rFonts w:hint="eastAsia" w:ascii="宋体" w:hAnsi="宋体" w:eastAsia="宋体"/>
          <w:b/>
          <w:color w:val="auto"/>
          <w:sz w:val="24"/>
          <w:highlight w:val="none"/>
        </w:rPr>
        <w:t>更正</w:t>
      </w:r>
    </w:p>
    <w:p w14:paraId="5BF4A897">
      <w:pPr>
        <w:wordWrap w:val="0"/>
        <w:spacing w:line="440" w:lineRule="exact"/>
        <w:ind w:firstLine="470" w:firstLineChars="196"/>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A528F59">
      <w:pPr>
        <w:wordWrap w:val="0"/>
        <w:spacing w:line="440" w:lineRule="exact"/>
        <w:ind w:firstLine="470" w:firstLineChars="196"/>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1.2磋商小组要求供应商澄清、说明或者更正响应文件应当以书面形式（询标）作出。供应商的澄清、说明或者更正应当由法定代表人或其授权代表签字或者加盖公章。</w:t>
      </w:r>
    </w:p>
    <w:p w14:paraId="5E1A9DE4">
      <w:pPr>
        <w:wordWrap w:val="0"/>
        <w:spacing w:line="440" w:lineRule="exact"/>
        <w:ind w:firstLine="435"/>
        <w:jc w:val="left"/>
        <w:rPr>
          <w:rFonts w:ascii="宋体" w:hAnsi="宋体" w:eastAsia="宋体"/>
          <w:b/>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2C42B348">
      <w:pPr>
        <w:wordWrap w:val="0"/>
        <w:spacing w:line="440" w:lineRule="exact"/>
        <w:ind w:firstLine="435"/>
        <w:jc w:val="left"/>
        <w:rPr>
          <w:rFonts w:ascii="Arial" w:hAnsi="Arial" w:eastAsia="宋体" w:cs="Arial"/>
          <w:color w:val="auto"/>
          <w:sz w:val="24"/>
          <w:highlight w:val="none"/>
        </w:rPr>
      </w:pPr>
      <w:r>
        <w:rPr>
          <w:rFonts w:hint="eastAsia" w:ascii="Arial" w:hAnsi="Arial" w:eastAsia="宋体" w:cs="Arial"/>
          <w:color w:val="auto"/>
          <w:sz w:val="24"/>
          <w:highlight w:val="none"/>
        </w:rPr>
        <w:t>21.3响应</w:t>
      </w:r>
      <w:r>
        <w:rPr>
          <w:rFonts w:ascii="Arial" w:hAnsi="Arial" w:eastAsia="宋体" w:cs="Arial"/>
          <w:color w:val="auto"/>
          <w:sz w:val="24"/>
          <w:highlight w:val="none"/>
        </w:rPr>
        <w:t>文件报价</w:t>
      </w:r>
      <w:r>
        <w:rPr>
          <w:rFonts w:hint="eastAsia" w:ascii="Arial" w:hAnsi="Arial" w:eastAsia="宋体" w:cs="Arial"/>
          <w:color w:val="auto"/>
          <w:sz w:val="24"/>
          <w:highlight w:val="none"/>
        </w:rPr>
        <w:t>或磋商过程中的报价</w:t>
      </w:r>
      <w:r>
        <w:rPr>
          <w:rFonts w:ascii="Arial" w:hAnsi="Arial" w:eastAsia="宋体" w:cs="Arial"/>
          <w:color w:val="auto"/>
          <w:sz w:val="24"/>
          <w:highlight w:val="none"/>
        </w:rPr>
        <w:t>出现不一致的，按照下列规定修正：</w:t>
      </w:r>
    </w:p>
    <w:p w14:paraId="3D9AB90E">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（1）</w:t>
      </w:r>
      <w:r>
        <w:rPr>
          <w:rFonts w:hint="eastAsia" w:ascii="Arial" w:hAnsi="Arial" w:eastAsia="宋体" w:cs="Arial"/>
          <w:color w:val="auto"/>
          <w:sz w:val="24"/>
          <w:highlight w:val="none"/>
        </w:rPr>
        <w:t>响应</w:t>
      </w:r>
      <w:r>
        <w:rPr>
          <w:rFonts w:ascii="Arial" w:hAnsi="Arial" w:eastAsia="宋体" w:cs="Arial"/>
          <w:color w:val="auto"/>
          <w:sz w:val="24"/>
          <w:highlight w:val="none"/>
        </w:rPr>
        <w:t>文件中</w:t>
      </w:r>
      <w:r>
        <w:rPr>
          <w:rFonts w:hint="eastAsia" w:ascii="Arial" w:hAnsi="Arial" w:eastAsia="宋体" w:cs="Arial"/>
          <w:color w:val="auto"/>
          <w:sz w:val="24"/>
          <w:highlight w:val="none"/>
        </w:rPr>
        <w:t>报价</w:t>
      </w:r>
      <w:r>
        <w:rPr>
          <w:rFonts w:ascii="Arial" w:hAnsi="Arial" w:eastAsia="宋体" w:cs="Arial"/>
          <w:color w:val="auto"/>
          <w:sz w:val="24"/>
          <w:highlight w:val="none"/>
        </w:rPr>
        <w:t>表内容与</w:t>
      </w:r>
      <w:r>
        <w:rPr>
          <w:rFonts w:hint="eastAsia" w:ascii="Arial" w:hAnsi="Arial" w:eastAsia="宋体" w:cs="Arial"/>
          <w:color w:val="auto"/>
          <w:sz w:val="24"/>
          <w:highlight w:val="none"/>
        </w:rPr>
        <w:t>分项报价明细表中</w:t>
      </w:r>
      <w:r>
        <w:rPr>
          <w:rFonts w:ascii="Arial" w:hAnsi="Arial" w:eastAsia="宋体" w:cs="Arial"/>
          <w:color w:val="auto"/>
          <w:sz w:val="24"/>
          <w:highlight w:val="none"/>
        </w:rPr>
        <w:t>相应内容不一致的，以</w:t>
      </w:r>
      <w:r>
        <w:rPr>
          <w:rFonts w:hint="eastAsia" w:ascii="Arial" w:hAnsi="Arial" w:eastAsia="宋体" w:cs="Arial"/>
          <w:color w:val="auto"/>
          <w:sz w:val="24"/>
          <w:highlight w:val="none"/>
        </w:rPr>
        <w:t>报价</w:t>
      </w:r>
      <w:r>
        <w:rPr>
          <w:rFonts w:ascii="Arial" w:hAnsi="Arial" w:eastAsia="宋体" w:cs="Arial"/>
          <w:color w:val="auto"/>
          <w:sz w:val="24"/>
          <w:highlight w:val="none"/>
        </w:rPr>
        <w:t>表为准；</w:t>
      </w:r>
    </w:p>
    <w:p w14:paraId="27F4A541">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（2）大写金额和小写金额不一致的，以大写金额为准；</w:t>
      </w:r>
    </w:p>
    <w:p w14:paraId="03556E6A">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（3）单价金额小数点或者百分比有明显错位的，以</w:t>
      </w:r>
      <w:r>
        <w:rPr>
          <w:rFonts w:hint="eastAsia" w:ascii="Arial" w:hAnsi="Arial" w:eastAsia="宋体" w:cs="Arial"/>
          <w:color w:val="auto"/>
          <w:sz w:val="24"/>
          <w:highlight w:val="none"/>
        </w:rPr>
        <w:t>报价</w:t>
      </w:r>
      <w:r>
        <w:rPr>
          <w:rFonts w:ascii="Arial" w:hAnsi="Arial" w:eastAsia="宋体" w:cs="Arial"/>
          <w:color w:val="auto"/>
          <w:sz w:val="24"/>
          <w:highlight w:val="none"/>
        </w:rPr>
        <w:t>表的总价为准，并修改单价；</w:t>
      </w:r>
    </w:p>
    <w:p w14:paraId="2089BE45">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（4）总价金额与按单价汇总金额不一致的，以单价金额计算结果为准。</w:t>
      </w:r>
    </w:p>
    <w:p w14:paraId="0C36C982">
      <w:pPr>
        <w:wordWrap w:val="0"/>
        <w:spacing w:line="440" w:lineRule="exact"/>
        <w:ind w:firstLine="435"/>
        <w:jc w:val="left"/>
        <w:rPr>
          <w:rFonts w:ascii="宋体" w:hAnsi="宋体" w:eastAsia="宋体"/>
          <w:b/>
          <w:color w:val="auto"/>
          <w:sz w:val="24"/>
          <w:highlight w:val="none"/>
        </w:rPr>
      </w:pPr>
      <w:r>
        <w:rPr>
          <w:rFonts w:ascii="Arial" w:hAnsi="Arial" w:eastAsia="宋体" w:cs="Arial"/>
          <w:color w:val="auto"/>
          <w:sz w:val="24"/>
          <w:highlight w:val="none"/>
        </w:rPr>
        <w:t>同时出现两种以上不一致的，按照前款规定的顺序修正。修正后的报价按照第</w:t>
      </w:r>
      <w:r>
        <w:rPr>
          <w:rFonts w:hint="eastAsia" w:ascii="Arial" w:hAnsi="Arial" w:eastAsia="宋体" w:cs="Arial"/>
          <w:color w:val="auto"/>
          <w:sz w:val="24"/>
          <w:highlight w:val="none"/>
        </w:rPr>
        <w:t>21.1、21.2</w:t>
      </w:r>
      <w:r>
        <w:rPr>
          <w:rFonts w:ascii="Arial" w:hAnsi="Arial" w:eastAsia="宋体" w:cs="Arial"/>
          <w:color w:val="auto"/>
          <w:sz w:val="24"/>
          <w:highlight w:val="none"/>
        </w:rPr>
        <w:t>条的规定经</w:t>
      </w:r>
      <w:r>
        <w:rPr>
          <w:rFonts w:hint="eastAsia" w:ascii="Arial" w:hAnsi="Arial" w:eastAsia="宋体" w:cs="Arial"/>
          <w:color w:val="auto"/>
          <w:sz w:val="24"/>
          <w:highlight w:val="none"/>
        </w:rPr>
        <w:t>供应商</w:t>
      </w:r>
      <w:r>
        <w:rPr>
          <w:rFonts w:ascii="Arial" w:hAnsi="Arial" w:eastAsia="宋体" w:cs="Arial"/>
          <w:color w:val="auto"/>
          <w:sz w:val="24"/>
          <w:highlight w:val="none"/>
        </w:rPr>
        <w:t>确认后产生约束力，</w:t>
      </w:r>
      <w:r>
        <w:rPr>
          <w:rFonts w:hint="eastAsia" w:ascii="Arial" w:hAnsi="Arial" w:eastAsia="宋体" w:cs="Arial"/>
          <w:color w:val="auto"/>
          <w:sz w:val="24"/>
          <w:highlight w:val="none"/>
        </w:rPr>
        <w:t>供应商</w:t>
      </w:r>
      <w:r>
        <w:rPr>
          <w:rFonts w:ascii="Arial" w:hAnsi="Arial" w:eastAsia="宋体" w:cs="Arial"/>
          <w:color w:val="auto"/>
          <w:sz w:val="24"/>
          <w:highlight w:val="none"/>
        </w:rPr>
        <w:t>不确认的，其</w:t>
      </w:r>
      <w:r>
        <w:rPr>
          <w:rFonts w:hint="eastAsia" w:ascii="Arial" w:hAnsi="Arial" w:eastAsia="宋体" w:cs="Arial"/>
          <w:color w:val="auto"/>
          <w:sz w:val="24"/>
          <w:highlight w:val="none"/>
        </w:rPr>
        <w:t>响应</w:t>
      </w:r>
      <w:r>
        <w:rPr>
          <w:rFonts w:ascii="Arial" w:hAnsi="Arial" w:eastAsia="宋体" w:cs="Arial"/>
          <w:color w:val="auto"/>
          <w:sz w:val="24"/>
          <w:highlight w:val="none"/>
        </w:rPr>
        <w:t>将被认定为</w:t>
      </w:r>
      <w:r>
        <w:rPr>
          <w:rFonts w:hint="eastAsia" w:ascii="Arial" w:hAnsi="Arial" w:eastAsia="宋体" w:cs="Arial"/>
          <w:b/>
          <w:color w:val="auto"/>
          <w:sz w:val="24"/>
          <w:highlight w:val="none"/>
        </w:rPr>
        <w:t>响应</w:t>
      </w:r>
      <w:r>
        <w:rPr>
          <w:rFonts w:ascii="Arial" w:hAnsi="Arial" w:eastAsia="宋体" w:cs="Arial"/>
          <w:b/>
          <w:color w:val="auto"/>
          <w:sz w:val="24"/>
          <w:highlight w:val="none"/>
        </w:rPr>
        <w:t>无效</w:t>
      </w:r>
      <w:r>
        <w:rPr>
          <w:rFonts w:ascii="Arial" w:hAnsi="Arial" w:eastAsia="宋体" w:cs="Arial"/>
          <w:color w:val="auto"/>
          <w:sz w:val="24"/>
          <w:highlight w:val="none"/>
        </w:rPr>
        <w:t>。</w:t>
      </w:r>
    </w:p>
    <w:p w14:paraId="78346B00">
      <w:pPr>
        <w:spacing w:line="360" w:lineRule="auto"/>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2</w:t>
      </w:r>
      <w:r>
        <w:rPr>
          <w:rFonts w:ascii="宋体" w:hAnsi="宋体" w:eastAsia="宋体"/>
          <w:b/>
          <w:color w:val="auto"/>
          <w:sz w:val="24"/>
          <w:highlight w:val="none"/>
        </w:rPr>
        <w:t>.最后报价</w:t>
      </w:r>
    </w:p>
    <w:p w14:paraId="075AD0A9">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22.1本项目无多轮报价</w:t>
      </w:r>
      <w:r>
        <w:rPr>
          <w:rFonts w:ascii="宋体" w:hAnsi="宋体" w:eastAsia="宋体"/>
          <w:color w:val="auto"/>
          <w:sz w:val="24"/>
          <w:highlight w:val="none"/>
        </w:rPr>
        <w:t>。</w:t>
      </w:r>
    </w:p>
    <w:p w14:paraId="74AFAFD8">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23.</w:t>
      </w:r>
      <w:r>
        <w:rPr>
          <w:rFonts w:hint="eastAsia" w:ascii="宋体" w:hAnsi="宋体" w:eastAsia="宋体"/>
          <w:b/>
          <w:color w:val="auto"/>
          <w:sz w:val="24"/>
          <w:highlight w:val="none"/>
        </w:rPr>
        <w:t>成交候选供应商的推荐原则及标准</w:t>
      </w:r>
    </w:p>
    <w:p w14:paraId="5E359B5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23.1</w:t>
      </w:r>
      <w:r>
        <w:rPr>
          <w:rFonts w:hint="eastAsia" w:ascii="宋体" w:hAnsi="宋体" w:eastAsia="宋体"/>
          <w:color w:val="auto"/>
          <w:sz w:val="24"/>
          <w:highlight w:val="none"/>
        </w:rPr>
        <w:t>磋商小组</w:t>
      </w:r>
      <w:r>
        <w:rPr>
          <w:rFonts w:ascii="宋体" w:hAnsi="宋体" w:eastAsia="宋体"/>
          <w:color w:val="auto"/>
          <w:sz w:val="24"/>
          <w:highlight w:val="none"/>
        </w:rPr>
        <w:t>依据本项目</w:t>
      </w:r>
      <w:r>
        <w:rPr>
          <w:rFonts w:hint="eastAsia" w:ascii="宋体" w:hAnsi="宋体" w:eastAsia="宋体"/>
          <w:color w:val="auto"/>
          <w:sz w:val="24"/>
          <w:highlight w:val="none"/>
        </w:rPr>
        <w:t>磋商</w:t>
      </w:r>
      <w:r>
        <w:rPr>
          <w:rFonts w:ascii="宋体" w:hAnsi="宋体" w:eastAsia="宋体"/>
          <w:color w:val="auto"/>
          <w:sz w:val="24"/>
          <w:highlight w:val="none"/>
        </w:rPr>
        <w:t>文件所约定的</w:t>
      </w:r>
      <w:r>
        <w:rPr>
          <w:rFonts w:hint="eastAsia" w:ascii="宋体" w:hAnsi="宋体" w:eastAsia="宋体"/>
          <w:color w:val="auto"/>
          <w:sz w:val="24"/>
          <w:highlight w:val="none"/>
        </w:rPr>
        <w:t>评审</w:t>
      </w:r>
      <w:r>
        <w:rPr>
          <w:rFonts w:ascii="宋体" w:hAnsi="宋体" w:eastAsia="宋体"/>
          <w:color w:val="auto"/>
          <w:sz w:val="24"/>
          <w:highlight w:val="none"/>
        </w:rPr>
        <w:t>方法</w:t>
      </w:r>
      <w:r>
        <w:rPr>
          <w:rFonts w:hint="eastAsia" w:ascii="宋体" w:hAnsi="宋体" w:eastAsia="宋体"/>
          <w:color w:val="auto"/>
          <w:sz w:val="24"/>
          <w:highlight w:val="none"/>
        </w:rPr>
        <w:t>和标准</w:t>
      </w:r>
      <w:r>
        <w:rPr>
          <w:rFonts w:ascii="宋体" w:hAnsi="宋体" w:eastAsia="宋体"/>
          <w:color w:val="auto"/>
          <w:sz w:val="24"/>
          <w:highlight w:val="none"/>
        </w:rPr>
        <w:t>，</w:t>
      </w:r>
      <w:r>
        <w:rPr>
          <w:rFonts w:hint="eastAsia" w:ascii="宋体" w:hAnsi="宋体" w:eastAsia="宋体"/>
          <w:color w:val="auto"/>
          <w:sz w:val="24"/>
          <w:highlight w:val="none"/>
        </w:rPr>
        <w:t>按照有效供应商综合总得分由高到低依次推荐成交候选供应商。综合总得分出现两家或两家以上相同者，按报价由低到高排序推荐成交候选供应商；综合总得分且报价均相同的，由磋商小组按照技术指标优劣顺序推荐成交候选供应商。</w:t>
      </w:r>
    </w:p>
    <w:p w14:paraId="24568860">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4</w:t>
      </w:r>
      <w:r>
        <w:rPr>
          <w:rFonts w:ascii="宋体" w:hAnsi="宋体" w:eastAsia="宋体"/>
          <w:b/>
          <w:color w:val="auto"/>
          <w:sz w:val="24"/>
          <w:highlight w:val="none"/>
        </w:rPr>
        <w:t>.</w:t>
      </w:r>
      <w:r>
        <w:rPr>
          <w:rFonts w:hint="eastAsia" w:ascii="宋体" w:hAnsi="宋体" w:eastAsia="宋体"/>
          <w:b/>
          <w:color w:val="auto"/>
          <w:sz w:val="24"/>
          <w:highlight w:val="none"/>
        </w:rPr>
        <w:t>确定成交候选供应商和成交供应商</w:t>
      </w:r>
    </w:p>
    <w:p w14:paraId="4E299D86">
      <w:pPr>
        <w:wordWrap w:val="0"/>
        <w:spacing w:line="440" w:lineRule="exact"/>
        <w:ind w:firstLine="470" w:firstLineChars="196"/>
        <w:jc w:val="left"/>
        <w:rPr>
          <w:rFonts w:ascii="宋体" w:hAnsi="宋体" w:eastAsia="宋体"/>
          <w:color w:val="auto"/>
          <w:sz w:val="24"/>
          <w:highlight w:val="none"/>
        </w:rPr>
      </w:pPr>
      <w:r>
        <w:rPr>
          <w:rFonts w:hint="eastAsia" w:ascii="宋体" w:hAnsi="宋体" w:eastAsia="宋体"/>
          <w:color w:val="auto"/>
          <w:sz w:val="24"/>
          <w:highlight w:val="none"/>
        </w:rPr>
        <w:t>24.1磋商小组根据综合评分的结果和供应商</w:t>
      </w:r>
      <w:r>
        <w:rPr>
          <w:rFonts w:ascii="宋体" w:hAnsi="宋体" w:eastAsia="宋体"/>
          <w:color w:val="auto"/>
          <w:sz w:val="24"/>
          <w:highlight w:val="none"/>
        </w:rPr>
        <w:t>须知前附表中规定</w:t>
      </w:r>
      <w:r>
        <w:rPr>
          <w:rFonts w:hint="eastAsia" w:ascii="宋体" w:hAnsi="宋体" w:eastAsia="宋体"/>
          <w:color w:val="auto"/>
          <w:sz w:val="24"/>
          <w:highlight w:val="none"/>
        </w:rPr>
        <w:t>确定成交候选供应商，并标明排列顺序。排名第一的成交候选供应商经采购人或采购人授权的磋商小组确定为成交供应商后，由</w:t>
      </w:r>
      <w:r>
        <w:rPr>
          <w:rFonts w:ascii="宋体" w:hAnsi="宋体" w:eastAsia="宋体"/>
          <w:color w:val="auto"/>
          <w:sz w:val="24"/>
          <w:highlight w:val="none"/>
        </w:rPr>
        <w:t>采购代理机构</w:t>
      </w:r>
      <w:r>
        <w:rPr>
          <w:rFonts w:hint="eastAsia" w:ascii="宋体" w:hAnsi="宋体" w:eastAsia="宋体"/>
          <w:color w:val="auto"/>
          <w:sz w:val="24"/>
          <w:highlight w:val="none"/>
        </w:rPr>
        <w:t>在相关媒体上予以公告。</w:t>
      </w:r>
    </w:p>
    <w:p w14:paraId="37A07ABC">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5</w:t>
      </w:r>
      <w:r>
        <w:rPr>
          <w:rFonts w:ascii="宋体" w:hAnsi="宋体" w:eastAsia="宋体"/>
          <w:b/>
          <w:color w:val="auto"/>
          <w:sz w:val="24"/>
          <w:highlight w:val="none"/>
        </w:rPr>
        <w:t>.编写评审报告</w:t>
      </w:r>
    </w:p>
    <w:p w14:paraId="62FABFE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25.1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C5B367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070ED46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6.1评审将在严格保密的情况下进行。</w:t>
      </w:r>
    </w:p>
    <w:p w14:paraId="6561E6F6">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6.2有关人员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492F11D">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7</w:t>
      </w:r>
      <w:r>
        <w:rPr>
          <w:rFonts w:ascii="宋体" w:hAnsi="宋体" w:eastAsia="宋体"/>
          <w:b/>
          <w:color w:val="auto"/>
          <w:sz w:val="24"/>
          <w:highlight w:val="none"/>
        </w:rPr>
        <w:t>.成交结果公告</w:t>
      </w:r>
    </w:p>
    <w:p w14:paraId="5DD909AD">
      <w:pPr>
        <w:wordWrap w:val="0"/>
        <w:snapToGrid w:val="0"/>
        <w:spacing w:line="44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7</w:t>
      </w:r>
      <w:r>
        <w:rPr>
          <w:rFonts w:ascii="宋体" w:hAnsi="宋体" w:eastAsia="宋体"/>
          <w:color w:val="auto"/>
          <w:sz w:val="24"/>
          <w:highlight w:val="none"/>
        </w:rPr>
        <w:t>.1为体现“公开、公平、公正”的原则，磋商结束后，</w:t>
      </w:r>
      <w:r>
        <w:rPr>
          <w:rFonts w:hint="eastAsia" w:ascii="宋体" w:hAnsi="宋体" w:eastAsia="宋体"/>
          <w:color w:val="auto"/>
          <w:sz w:val="24"/>
          <w:highlight w:val="none"/>
        </w:rPr>
        <w:t>采购代理机构将在磋商公告发布的同一媒介</w:t>
      </w:r>
      <w:r>
        <w:rPr>
          <w:rFonts w:ascii="宋体" w:hAnsi="宋体" w:eastAsia="宋体"/>
          <w:color w:val="auto"/>
          <w:sz w:val="24"/>
          <w:highlight w:val="none"/>
        </w:rPr>
        <w:t>上发布成交结果公告。</w:t>
      </w:r>
    </w:p>
    <w:p w14:paraId="219C2CE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7</w:t>
      </w:r>
      <w:r>
        <w:rPr>
          <w:rFonts w:ascii="宋体" w:hAnsi="宋体" w:eastAsia="宋体"/>
          <w:color w:val="auto"/>
          <w:sz w:val="24"/>
          <w:highlight w:val="none"/>
        </w:rPr>
        <w:t>.2成交结果公告内容应当包括采购人及其委托的采购代理机构的名称、地址、联系方式，项目名称和项目编号，成交供应商名称、地址和成交金额，成交结果公告期限以及</w:t>
      </w:r>
      <w:r>
        <w:rPr>
          <w:rFonts w:hint="eastAsia" w:ascii="宋体" w:hAnsi="宋体" w:eastAsia="宋体"/>
          <w:color w:val="auto"/>
          <w:sz w:val="24"/>
          <w:highlight w:val="none"/>
          <w:u w:val="single"/>
        </w:rPr>
        <w:t>供应商须知前附表</w:t>
      </w:r>
      <w:r>
        <w:rPr>
          <w:rFonts w:ascii="宋体" w:hAnsi="宋体" w:eastAsia="宋体"/>
          <w:color w:val="auto"/>
          <w:sz w:val="24"/>
          <w:highlight w:val="none"/>
        </w:rPr>
        <w:t>中约定进行公告的内容。</w:t>
      </w:r>
    </w:p>
    <w:p w14:paraId="58BECD5E">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8</w:t>
      </w:r>
      <w:r>
        <w:rPr>
          <w:rFonts w:ascii="宋体" w:hAnsi="宋体" w:eastAsia="宋体"/>
          <w:b/>
          <w:color w:val="auto"/>
          <w:sz w:val="24"/>
          <w:highlight w:val="none"/>
        </w:rPr>
        <w:t>.成交通知书</w:t>
      </w:r>
    </w:p>
    <w:p w14:paraId="599C345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.1采购代理机构发布成交结果公告的同时向成交供应商发出成交通知书。</w:t>
      </w:r>
    </w:p>
    <w:p w14:paraId="52E913FF">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2CF8874B">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.3成交通知书是合同的组成部分。</w:t>
      </w:r>
    </w:p>
    <w:p w14:paraId="1A4ED95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66AF5ED8">
      <w:pPr>
        <w:wordWrap w:val="0"/>
        <w:spacing w:line="44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.1采购代理机构对未成交的供应商不做未成交原因的解释。</w:t>
      </w:r>
    </w:p>
    <w:p w14:paraId="31AE289F">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.履约保证金</w:t>
      </w:r>
    </w:p>
    <w:p w14:paraId="0FA2B7C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30</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19CB85F5">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30</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24E93C9">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w:t>
      </w:r>
      <w:r>
        <w:rPr>
          <w:rFonts w:hint="eastAsia" w:ascii="宋体" w:hAnsi="宋体" w:eastAsia="宋体"/>
          <w:b/>
          <w:color w:val="auto"/>
          <w:sz w:val="24"/>
          <w:highlight w:val="none"/>
        </w:rPr>
        <w:t>采购代理服务费</w:t>
      </w:r>
    </w:p>
    <w:p w14:paraId="4A6445F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31</w:t>
      </w:r>
      <w:r>
        <w:rPr>
          <w:rFonts w:ascii="宋体" w:hAnsi="宋体" w:eastAsia="宋体"/>
          <w:color w:val="auto"/>
          <w:sz w:val="24"/>
          <w:highlight w:val="none"/>
        </w:rPr>
        <w:t>.1本项目</w:t>
      </w:r>
      <w:r>
        <w:rPr>
          <w:rFonts w:hint="eastAsia" w:ascii="宋体" w:hAnsi="宋体" w:eastAsia="宋体"/>
          <w:color w:val="auto"/>
          <w:sz w:val="24"/>
          <w:highlight w:val="none"/>
        </w:rPr>
        <w:t>采购代理服务费</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77C5158B">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32</w:t>
      </w:r>
      <w:r>
        <w:rPr>
          <w:rFonts w:ascii="宋体" w:hAnsi="宋体" w:eastAsia="宋体"/>
          <w:b/>
          <w:color w:val="auto"/>
          <w:sz w:val="24"/>
          <w:highlight w:val="none"/>
        </w:rPr>
        <w:t>.签订合同</w:t>
      </w:r>
    </w:p>
    <w:p w14:paraId="4870E97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.1</w:t>
      </w:r>
      <w:r>
        <w:rPr>
          <w:rFonts w:hint="eastAsia" w:ascii="宋体" w:hAnsi="宋体" w:eastAsia="宋体"/>
          <w:color w:val="auto"/>
          <w:sz w:val="24"/>
          <w:highlight w:val="none"/>
        </w:rPr>
        <w:t>采购人与</w:t>
      </w:r>
      <w:r>
        <w:rPr>
          <w:rFonts w:ascii="宋体" w:hAnsi="宋体" w:eastAsia="宋体"/>
          <w:color w:val="auto"/>
          <w:sz w:val="24"/>
          <w:highlight w:val="none"/>
        </w:rPr>
        <w:t>成交供应商应当自发出成交通知书之日起30日内签订合同。</w:t>
      </w:r>
    </w:p>
    <w:p w14:paraId="62D827EA">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.2磋商文件、成交供应商的响应文件及其澄清文件等，均为签订合同的依据。</w:t>
      </w:r>
    </w:p>
    <w:p w14:paraId="787DD708">
      <w:pPr>
        <w:wordWrap w:val="0"/>
        <w:spacing w:line="440" w:lineRule="exact"/>
        <w:ind w:firstLine="470" w:firstLineChars="196"/>
        <w:jc w:val="left"/>
        <w:rPr>
          <w:rFonts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.3 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成交供应商拒绝签订采购合同的不得参加对该项目重新开展的采购活动。</w:t>
      </w:r>
    </w:p>
    <w:p w14:paraId="3E899EB0">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3</w:t>
      </w:r>
      <w:r>
        <w:rPr>
          <w:rFonts w:ascii="宋体" w:hAnsi="宋体" w:eastAsia="宋体"/>
          <w:b/>
          <w:color w:val="auto"/>
          <w:sz w:val="24"/>
          <w:highlight w:val="none"/>
        </w:rPr>
        <w:t>.廉洁自律规定</w:t>
      </w:r>
    </w:p>
    <w:p w14:paraId="1F3121B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3</w:t>
      </w:r>
      <w:r>
        <w:rPr>
          <w:rFonts w:ascii="宋体" w:hAnsi="宋体" w:eastAsia="宋体"/>
          <w:color w:val="auto"/>
          <w:sz w:val="24"/>
          <w:highlight w:val="none"/>
        </w:rPr>
        <w:t>.1采购代理机构工作人员不得以不正当手段获取采购代理业务，不得与采购人、供应商恶意串通。</w:t>
      </w:r>
    </w:p>
    <w:p w14:paraId="1757FF86">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3</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34BE6079">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4</w:t>
      </w:r>
      <w:r>
        <w:rPr>
          <w:rFonts w:ascii="宋体" w:hAnsi="宋体" w:eastAsia="宋体"/>
          <w:b/>
          <w:color w:val="auto"/>
          <w:sz w:val="24"/>
          <w:highlight w:val="none"/>
        </w:rPr>
        <w:t>.质疑的提出与接收</w:t>
      </w:r>
    </w:p>
    <w:p w14:paraId="3B12C4D9">
      <w:pPr>
        <w:wordWrap w:val="0"/>
        <w:spacing w:line="440" w:lineRule="exact"/>
        <w:ind w:firstLine="435"/>
        <w:jc w:val="left"/>
        <w:rPr>
          <w:rFonts w:ascii="宋体" w:hAnsi="宋体" w:eastAsia="宋体"/>
          <w:color w:val="auto"/>
          <w:sz w:val="24"/>
          <w:szCs w:val="22"/>
          <w:highlight w:val="none"/>
        </w:rPr>
      </w:pPr>
      <w:r>
        <w:rPr>
          <w:rFonts w:ascii="宋体" w:hAnsi="宋体" w:eastAsia="宋体"/>
          <w:color w:val="auto"/>
          <w:sz w:val="24"/>
          <w:highlight w:val="none"/>
        </w:rPr>
        <w:t>3</w:t>
      </w:r>
      <w:r>
        <w:rPr>
          <w:rFonts w:hint="eastAsia" w:ascii="宋体" w:hAnsi="宋体" w:eastAsia="宋体"/>
          <w:color w:val="auto"/>
          <w:sz w:val="24"/>
          <w:highlight w:val="none"/>
        </w:rPr>
        <w:t>4</w:t>
      </w:r>
      <w:r>
        <w:rPr>
          <w:rFonts w:ascii="宋体" w:hAnsi="宋体" w:eastAsia="宋体"/>
          <w:color w:val="auto"/>
          <w:sz w:val="24"/>
          <w:highlight w:val="none"/>
        </w:rPr>
        <w:t>.1供应商认为磋商文件、采购过程、成交结果使自己的</w:t>
      </w:r>
      <w:r>
        <w:rPr>
          <w:rFonts w:ascii="宋体" w:hAnsi="宋体" w:eastAsia="宋体"/>
          <w:color w:val="auto"/>
          <w:sz w:val="24"/>
          <w:szCs w:val="22"/>
          <w:highlight w:val="none"/>
        </w:rPr>
        <w:t>权益受到损害的，可以在</w:t>
      </w:r>
      <w:r>
        <w:rPr>
          <w:rFonts w:hint="eastAsia" w:ascii="宋体" w:hAnsi="宋体" w:eastAsia="宋体"/>
          <w:color w:val="auto"/>
          <w:sz w:val="24"/>
          <w:szCs w:val="22"/>
          <w:highlight w:val="none"/>
        </w:rPr>
        <w:t>质疑期</w:t>
      </w:r>
      <w:r>
        <w:rPr>
          <w:rFonts w:ascii="宋体" w:hAnsi="宋体" w:eastAsia="宋体"/>
          <w:color w:val="auto"/>
          <w:sz w:val="24"/>
          <w:szCs w:val="22"/>
          <w:highlight w:val="none"/>
        </w:rPr>
        <w:t>内向采购人或其委托的采购代理机构提出质疑。</w:t>
      </w:r>
    </w:p>
    <w:p w14:paraId="78EBEC3F">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4</w:t>
      </w:r>
      <w:r>
        <w:rPr>
          <w:rFonts w:ascii="宋体" w:hAnsi="宋体" w:eastAsia="宋体"/>
          <w:color w:val="auto"/>
          <w:sz w:val="24"/>
          <w:highlight w:val="none"/>
        </w:rPr>
        <w:t>.2质疑供应商应</w:t>
      </w:r>
      <w:r>
        <w:rPr>
          <w:rFonts w:hint="eastAsia" w:ascii="宋体" w:hAnsi="宋体" w:eastAsia="宋体"/>
          <w:color w:val="auto"/>
          <w:sz w:val="24"/>
          <w:highlight w:val="none"/>
        </w:rPr>
        <w:t>按本须知34.4的要求</w:t>
      </w:r>
      <w:r>
        <w:rPr>
          <w:rFonts w:ascii="宋体" w:hAnsi="宋体" w:eastAsia="宋体"/>
          <w:color w:val="auto"/>
          <w:sz w:val="24"/>
          <w:highlight w:val="none"/>
        </w:rPr>
        <w:t>，在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w:t>
      </w:r>
      <w:r>
        <w:rPr>
          <w:rFonts w:hint="eastAsia" w:ascii="宋体" w:hAnsi="宋体" w:eastAsia="宋体"/>
          <w:color w:val="auto"/>
          <w:sz w:val="24"/>
          <w:highlight w:val="none"/>
        </w:rPr>
        <w:t>质疑期</w:t>
      </w:r>
      <w:r>
        <w:rPr>
          <w:rFonts w:ascii="宋体" w:hAnsi="宋体" w:eastAsia="宋体"/>
          <w:color w:val="auto"/>
          <w:sz w:val="24"/>
          <w:highlight w:val="none"/>
        </w:rPr>
        <w:t>内以</w:t>
      </w:r>
      <w:r>
        <w:rPr>
          <w:rFonts w:hint="eastAsia" w:ascii="宋体" w:hAnsi="宋体" w:eastAsia="宋体"/>
          <w:color w:val="auto"/>
          <w:sz w:val="24"/>
          <w:highlight w:val="none"/>
        </w:rPr>
        <w:t>书面</w:t>
      </w:r>
      <w:r>
        <w:rPr>
          <w:rFonts w:ascii="宋体" w:hAnsi="宋体" w:eastAsia="宋体"/>
          <w:color w:val="auto"/>
          <w:sz w:val="24"/>
          <w:highlight w:val="none"/>
        </w:rPr>
        <w:t>形式提出质疑，</w:t>
      </w:r>
      <w:r>
        <w:rPr>
          <w:rFonts w:hint="eastAsia" w:ascii="宋体" w:hAnsi="宋体" w:eastAsia="宋体"/>
          <w:color w:val="auto"/>
          <w:sz w:val="24"/>
          <w:highlight w:val="none"/>
        </w:rPr>
        <w:t>超出质疑期提交的质疑将被拒绝。</w:t>
      </w:r>
      <w:r>
        <w:rPr>
          <w:rFonts w:ascii="宋体" w:hAnsi="宋体" w:eastAsia="宋体"/>
          <w:color w:val="auto"/>
          <w:sz w:val="24"/>
          <w:highlight w:val="none"/>
        </w:rPr>
        <w:t>针对同一采购程序环节的质疑应一次性提出。</w:t>
      </w:r>
    </w:p>
    <w:p w14:paraId="089F185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超出质疑期的、重复提出的、分次提出的或内容、形式不符合本文件规定的，质疑供应商将依法承担不利后果。</w:t>
      </w:r>
    </w:p>
    <w:p w14:paraId="2C7D01E3">
      <w:pPr>
        <w:wordWrap w:val="0"/>
        <w:spacing w:line="440" w:lineRule="exact"/>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34.3采购代理机构质疑函接收部门、联系电话和通讯地址，见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34D2656B">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34.4提出质疑的要求</w:t>
      </w:r>
    </w:p>
    <w:p w14:paraId="5C03F2D2">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34.4.1质疑应以书面形式实名提出，书面质疑材料应当包括以下内容：</w:t>
      </w:r>
    </w:p>
    <w:p w14:paraId="4E8F5E54">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（1）质疑人的名称、地址、有效联系方式；</w:t>
      </w:r>
    </w:p>
    <w:p w14:paraId="003420FB">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（2）项目名称、项目编号、包别号（如有）；</w:t>
      </w:r>
    </w:p>
    <w:p w14:paraId="01C162E8">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（3）被质疑人名称；</w:t>
      </w:r>
    </w:p>
    <w:p w14:paraId="62D6BC35">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（4）具体的质疑事项、基本事实及必要的证明材料；</w:t>
      </w:r>
    </w:p>
    <w:p w14:paraId="42DBD9AB">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（5）明确的请求及主张；</w:t>
      </w:r>
    </w:p>
    <w:p w14:paraId="4A208075">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（6）提起质疑的日期。</w:t>
      </w:r>
    </w:p>
    <w:p w14:paraId="34DC0018">
      <w:pPr>
        <w:wordWrap w:val="0"/>
        <w:spacing w:line="440" w:lineRule="exact"/>
        <w:ind w:firstLine="437"/>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34.4.2质疑人为法人或者其他组织的，应当由法定代表人或其委托代理人（需有委托授权书）签字并加盖公章。</w:t>
      </w:r>
    </w:p>
    <w:p w14:paraId="18EB6475">
      <w:pPr>
        <w:wordWrap w:val="0"/>
        <w:spacing w:line="440" w:lineRule="exact"/>
        <w:ind w:firstLine="437"/>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34.4.3质疑人需要修改、补充质疑材料的，应当在质疑期内提交修改或补充材料。</w:t>
      </w:r>
    </w:p>
    <w:p w14:paraId="5FD04ADE">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34.5质疑不予受理的情形</w:t>
      </w:r>
    </w:p>
    <w:p w14:paraId="02B05F0A">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质疑存在以下情形之一的，不予受理：</w:t>
      </w:r>
    </w:p>
    <w:p w14:paraId="43B602D8">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（1）提起质疑的主体不是参与本次采购项目活动的供应商；</w:t>
      </w:r>
    </w:p>
    <w:p w14:paraId="02F47461">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（2）提起质疑的时间超过规定时限的；</w:t>
      </w:r>
    </w:p>
    <w:p w14:paraId="58D1A985">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（3）质疑材料不完整的；</w:t>
      </w:r>
    </w:p>
    <w:p w14:paraId="16F47E78">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（4）质疑事项含有主观猜测等内容且未提供有效线索、难以查证的；</w:t>
      </w:r>
    </w:p>
    <w:p w14:paraId="57B64221">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（5）对其他供应商的响应文件详细内容质疑，无法提供合法来源渠道的；</w:t>
      </w:r>
    </w:p>
    <w:p w14:paraId="196C62C9">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（6）质疑事项已进入投诉处理、行政复议或行政诉讼程序的。</w:t>
      </w:r>
    </w:p>
    <w:p w14:paraId="551A7F5E">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34.6经审查符合质疑条件的，自收到质疑之日起即为受理。鼎信数智技术集团股份有限公司将在质疑受理后7个工作日内作出答复或相关处理决定（需要检验、检测、鉴定、专家评审的，所需时间不计算在内），并以书面形式通知质疑人，答复的内容不得涉及商业秘密。</w:t>
      </w:r>
    </w:p>
    <w:p w14:paraId="03B81446">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34.7质疑人在答复期满前撤回质疑的，应由法定代表人或授权代表人签字确认，鼎信数智技术集团股份有限公司即终止质疑处理程序。质疑人不得以同一理由再次提出质疑。</w:t>
      </w:r>
    </w:p>
    <w:p w14:paraId="3ADD1541">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34.8质疑人有下列情形之一的，属于虚假、恶意质疑，鼎信数智技术集团股份有限公司将报采购人予以处理。</w:t>
      </w:r>
    </w:p>
    <w:p w14:paraId="51F135B0">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（1）一年内三次以上质疑均查无实据的；</w:t>
      </w:r>
    </w:p>
    <w:p w14:paraId="5C638EDD">
      <w:pPr>
        <w:wordWrap w:val="0"/>
        <w:spacing w:line="440" w:lineRule="exact"/>
        <w:ind w:firstLine="437"/>
        <w:jc w:val="left"/>
        <w:outlineLvl w:val="3"/>
        <w:rPr>
          <w:rFonts w:ascii="宋体" w:hAnsi="宋体" w:eastAsia="宋体" w:cs="宋体"/>
          <w:color w:val="auto"/>
          <w:sz w:val="24"/>
          <w:highlight w:val="none"/>
        </w:rPr>
      </w:pPr>
      <w:r>
        <w:rPr>
          <w:rFonts w:hint="eastAsia" w:ascii="宋体" w:hAnsi="宋体" w:eastAsia="宋体" w:cs="宋体"/>
          <w:bCs/>
          <w:color w:val="auto"/>
          <w:sz w:val="24"/>
          <w:highlight w:val="none"/>
        </w:rPr>
        <w:t>（2）捏造事实恶意诬陷他人、有意提供虚假质疑材料的或者通过非法手段获取材料的。</w:t>
      </w:r>
    </w:p>
    <w:p w14:paraId="74F3770C">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5</w:t>
      </w:r>
      <w:r>
        <w:rPr>
          <w:rFonts w:ascii="宋体" w:hAnsi="宋体" w:eastAsia="宋体"/>
          <w:b/>
          <w:color w:val="auto"/>
          <w:sz w:val="24"/>
          <w:highlight w:val="none"/>
        </w:rPr>
        <w:t>.需要补充的其他内容</w:t>
      </w:r>
    </w:p>
    <w:p w14:paraId="6363761A">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FF44F98">
      <w:pPr>
        <w:wordWrap w:val="0"/>
        <w:spacing w:line="440" w:lineRule="exact"/>
        <w:rPr>
          <w:rFonts w:ascii="宋体" w:hAnsi="宋体" w:eastAsia="宋体"/>
          <w:b/>
          <w:color w:val="auto"/>
          <w:sz w:val="28"/>
          <w:highlight w:val="none"/>
        </w:rPr>
      </w:pPr>
      <w:r>
        <w:rPr>
          <w:rFonts w:ascii="宋体" w:hAnsi="宋体" w:eastAsia="宋体"/>
          <w:color w:val="auto"/>
          <w:sz w:val="24"/>
          <w:highlight w:val="none"/>
        </w:rPr>
        <w:br w:type="page"/>
      </w:r>
    </w:p>
    <w:p w14:paraId="6AC30E54">
      <w:pPr>
        <w:keepNext w:val="0"/>
        <w:keepLines w:val="0"/>
        <w:pageBreakBefore w:val="0"/>
        <w:kinsoku/>
        <w:wordWrap w:val="0"/>
        <w:overflowPunct/>
        <w:topLinePunct w:val="0"/>
        <w:autoSpaceDE/>
        <w:autoSpaceDN/>
        <w:bidi w:val="0"/>
        <w:adjustRightInd/>
        <w:snapToGrid/>
        <w:spacing w:line="360" w:lineRule="auto"/>
        <w:jc w:val="center"/>
        <w:textAlignment w:val="auto"/>
        <w:outlineLvl w:val="1"/>
        <w:rPr>
          <w:rFonts w:ascii="华文中宋" w:hAnsi="华文中宋" w:eastAsia="华文中宋" w:cs="Times New Roman"/>
          <w:b/>
          <w:bCs/>
          <w:color w:val="auto"/>
          <w:kern w:val="44"/>
          <w:sz w:val="44"/>
          <w:szCs w:val="44"/>
          <w:highlight w:val="none"/>
        </w:rPr>
      </w:pPr>
      <w:bookmarkStart w:id="13" w:name="_Toc17809"/>
      <w:r>
        <w:rPr>
          <w:rFonts w:hint="eastAsia" w:ascii="华文中宋" w:hAnsi="华文中宋" w:eastAsia="华文中宋" w:cs="Times New Roman"/>
          <w:b/>
          <w:bCs/>
          <w:color w:val="auto"/>
          <w:kern w:val="44"/>
          <w:sz w:val="44"/>
          <w:szCs w:val="44"/>
          <w:highlight w:val="none"/>
        </w:rPr>
        <w:t>第三章  采购需求</w:t>
      </w:r>
      <w:bookmarkEnd w:id="13"/>
    </w:p>
    <w:p w14:paraId="01461667">
      <w:pPr>
        <w:keepNext w:val="0"/>
        <w:keepLines w:val="0"/>
        <w:pageBreakBefore w:val="0"/>
        <w:widowControl/>
        <w:kinsoku/>
        <w:overflowPunct/>
        <w:topLinePunct w:val="0"/>
        <w:autoSpaceDE/>
        <w:autoSpaceDN/>
        <w:bidi w:val="0"/>
        <w:adjustRightInd/>
        <w:snapToGrid/>
        <w:spacing w:line="360" w:lineRule="auto"/>
        <w:jc w:val="left"/>
        <w:textAlignment w:val="auto"/>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 xml:space="preserve">前注： </w:t>
      </w:r>
    </w:p>
    <w:p w14:paraId="610D825C">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 xml:space="preserve">本采购需求中提出的服务方案仅为参考，如无明确限制，供应商可以进行优化，提供满足采购人实际需要的更优（或者性能实质上不低于的）服务方案，且此方案须经评标委员会评审认可。 </w:t>
      </w:r>
    </w:p>
    <w:p w14:paraId="626C3427">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采购需求前附表</w:t>
      </w:r>
    </w:p>
    <w:tbl>
      <w:tblPr>
        <w:tblStyle w:val="25"/>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827"/>
        <w:gridCol w:w="5979"/>
      </w:tblGrid>
      <w:tr w14:paraId="68FD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53" w:type="dxa"/>
            <w:vAlign w:val="center"/>
          </w:tcPr>
          <w:p w14:paraId="3F97B35C">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序号</w:t>
            </w:r>
          </w:p>
        </w:tc>
        <w:tc>
          <w:tcPr>
            <w:tcW w:w="1827" w:type="dxa"/>
            <w:vAlign w:val="center"/>
          </w:tcPr>
          <w:p w14:paraId="366B010C">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条款名称</w:t>
            </w:r>
          </w:p>
        </w:tc>
        <w:tc>
          <w:tcPr>
            <w:tcW w:w="5979" w:type="dxa"/>
            <w:vAlign w:val="center"/>
          </w:tcPr>
          <w:p w14:paraId="77D2F275">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内容、说明与要求</w:t>
            </w:r>
          </w:p>
        </w:tc>
      </w:tr>
      <w:tr w14:paraId="1882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53" w:type="dxa"/>
            <w:vAlign w:val="center"/>
          </w:tcPr>
          <w:p w14:paraId="5D70DD05">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1</w:t>
            </w:r>
          </w:p>
        </w:tc>
        <w:tc>
          <w:tcPr>
            <w:tcW w:w="1827" w:type="dxa"/>
            <w:vAlign w:val="center"/>
          </w:tcPr>
          <w:p w14:paraId="46849612">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收费模式</w:t>
            </w:r>
          </w:p>
        </w:tc>
        <w:tc>
          <w:tcPr>
            <w:tcW w:w="5979" w:type="dxa"/>
            <w:vAlign w:val="center"/>
          </w:tcPr>
          <w:p w14:paraId="697E99FA">
            <w:pPr>
              <w:keepNext w:val="0"/>
              <w:keepLines w:val="0"/>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成交单位按正式聘用人员年薪比例收取服务费，具体收费比例以报价人最终响应报价为准。</w:t>
            </w:r>
          </w:p>
        </w:tc>
      </w:tr>
      <w:tr w14:paraId="1038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53" w:type="dxa"/>
            <w:vAlign w:val="center"/>
          </w:tcPr>
          <w:p w14:paraId="31B93EA8">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2</w:t>
            </w:r>
          </w:p>
        </w:tc>
        <w:tc>
          <w:tcPr>
            <w:tcW w:w="1827" w:type="dxa"/>
            <w:vAlign w:val="center"/>
          </w:tcPr>
          <w:p w14:paraId="464F135C">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服务地点</w:t>
            </w:r>
          </w:p>
        </w:tc>
        <w:tc>
          <w:tcPr>
            <w:tcW w:w="5979" w:type="dxa"/>
            <w:vAlign w:val="center"/>
          </w:tcPr>
          <w:p w14:paraId="1699ABF5">
            <w:pPr>
              <w:keepNext w:val="0"/>
              <w:keepLines w:val="0"/>
              <w:pageBreakBefore w:val="0"/>
              <w:widowControl/>
              <w:kinsoku/>
              <w:overflowPunct/>
              <w:topLinePunct w:val="0"/>
              <w:autoSpaceDE/>
              <w:autoSpaceDN/>
              <w:bidi w:val="0"/>
              <w:adjustRightInd/>
              <w:snapToGrid/>
              <w:spacing w:line="360" w:lineRule="auto"/>
              <w:jc w:val="left"/>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安徽省，采购人指定地点。</w:t>
            </w:r>
          </w:p>
        </w:tc>
      </w:tr>
      <w:tr w14:paraId="53B2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53" w:type="dxa"/>
            <w:vAlign w:val="center"/>
          </w:tcPr>
          <w:p w14:paraId="3476A0B3">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3</w:t>
            </w:r>
          </w:p>
        </w:tc>
        <w:tc>
          <w:tcPr>
            <w:tcW w:w="1827" w:type="dxa"/>
            <w:vAlign w:val="center"/>
          </w:tcPr>
          <w:p w14:paraId="3776AD92">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服务期限</w:t>
            </w:r>
          </w:p>
        </w:tc>
        <w:tc>
          <w:tcPr>
            <w:tcW w:w="5979" w:type="dxa"/>
            <w:vAlign w:val="center"/>
          </w:tcPr>
          <w:p w14:paraId="1CACF908">
            <w:pPr>
              <w:keepNext w:val="0"/>
              <w:keepLines w:val="0"/>
              <w:pageBreakBefore w:val="0"/>
              <w:widowControl/>
              <w:kinsoku/>
              <w:overflowPunct/>
              <w:topLinePunct w:val="0"/>
              <w:autoSpaceDE/>
              <w:autoSpaceDN/>
              <w:bidi w:val="0"/>
              <w:adjustRightInd/>
              <w:snapToGrid/>
              <w:spacing w:line="360" w:lineRule="auto"/>
              <w:jc w:val="left"/>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eastAsia="zh-CN" w:bidi="ar"/>
              </w:rPr>
              <w:t>合同签订采用1+1+1方式，总体不超过三年。上一年合同期满后，双方无异议续签下一年合同，具体时间节点以采购人要求为准。</w:t>
            </w:r>
          </w:p>
        </w:tc>
      </w:tr>
    </w:tbl>
    <w:p w14:paraId="1CF37E42">
      <w:pPr>
        <w:keepNext w:val="0"/>
        <w:keepLines w:val="0"/>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bidi="ar"/>
        </w:rPr>
      </w:pPr>
      <w:bookmarkStart w:id="14" w:name="_Toc397588697"/>
      <w:r>
        <w:rPr>
          <w:rFonts w:hint="eastAsia" w:ascii="宋体" w:hAnsi="宋体" w:eastAsia="宋体" w:cs="宋体"/>
          <w:b/>
          <w:bCs/>
          <w:color w:val="auto"/>
          <w:kern w:val="0"/>
          <w:sz w:val="24"/>
          <w:szCs w:val="24"/>
          <w:highlight w:val="none"/>
          <w:lang w:bidi="ar"/>
        </w:rPr>
        <w:t>一、服务内容</w:t>
      </w:r>
      <w:bookmarkEnd w:id="14"/>
    </w:p>
    <w:p w14:paraId="6E29D570">
      <w:pPr>
        <w:pStyle w:val="62"/>
        <w:spacing w:after="120" w:line="360" w:lineRule="auto"/>
        <w:jc w:val="both"/>
        <w:rPr>
          <w:rFonts w:hint="eastAsia" w:ascii="宋体" w:hAnsi="宋体" w:eastAsia="宋体" w:cs="宋体"/>
          <w:b w:val="0"/>
          <w:i w:val="0"/>
          <w:strike w:val="0"/>
          <w:color w:val="auto"/>
          <w:sz w:val="24"/>
          <w:szCs w:val="21"/>
          <w:highlight w:val="none"/>
          <w:u w:val="none"/>
        </w:rPr>
      </w:pPr>
      <w:r>
        <w:rPr>
          <w:rFonts w:hint="eastAsia" w:ascii="宋体" w:hAnsi="宋体" w:eastAsia="宋体" w:cs="宋体"/>
          <w:b w:val="0"/>
          <w:i w:val="0"/>
          <w:strike w:val="0"/>
          <w:color w:val="auto"/>
          <w:sz w:val="24"/>
          <w:szCs w:val="21"/>
          <w:highlight w:val="none"/>
          <w:u w:val="none"/>
        </w:rPr>
        <w:t>1.</w:t>
      </w:r>
      <w:r>
        <w:rPr>
          <w:rFonts w:ascii="Segoe UI" w:hAnsi="Segoe UI" w:eastAsia="Segoe UI" w:cs="Segoe UI"/>
          <w:i w:val="0"/>
          <w:iCs w:val="0"/>
          <w:caps w:val="0"/>
          <w:color w:val="auto"/>
          <w:spacing w:val="0"/>
          <w:sz w:val="24"/>
          <w:szCs w:val="24"/>
          <w:highlight w:val="none"/>
          <w:shd w:val="clear" w:fill="FFFFFF"/>
        </w:rPr>
        <w:t>猎头公司须严格依据采购人制定的任职资格与岗位规范，精准筛选并定向寻访目标人才，确保高质量交付契合岗位需求的候选人</w:t>
      </w:r>
      <w:r>
        <w:rPr>
          <w:rFonts w:hint="eastAsia" w:ascii="宋体" w:hAnsi="宋体" w:eastAsia="宋体" w:cs="宋体"/>
          <w:b w:val="0"/>
          <w:i w:val="0"/>
          <w:strike w:val="0"/>
          <w:color w:val="auto"/>
          <w:sz w:val="24"/>
          <w:szCs w:val="21"/>
          <w:highlight w:val="none"/>
          <w:u w:val="none"/>
        </w:rPr>
        <w:t>。</w:t>
      </w:r>
    </w:p>
    <w:p w14:paraId="34BC570A">
      <w:pPr>
        <w:pStyle w:val="62"/>
        <w:spacing w:after="120" w:line="360" w:lineRule="auto"/>
        <w:jc w:val="both"/>
        <w:rPr>
          <w:rFonts w:hint="eastAsia" w:ascii="宋体" w:hAnsi="宋体" w:eastAsia="宋体" w:cs="宋体"/>
          <w:b w:val="0"/>
          <w:i w:val="0"/>
          <w:strike w:val="0"/>
          <w:color w:val="auto"/>
          <w:sz w:val="24"/>
          <w:szCs w:val="21"/>
          <w:highlight w:val="none"/>
          <w:u w:val="none"/>
        </w:rPr>
      </w:pPr>
      <w:r>
        <w:rPr>
          <w:rFonts w:hint="eastAsia" w:ascii="宋体" w:hAnsi="宋体" w:eastAsia="宋体" w:cs="宋体"/>
          <w:b w:val="0"/>
          <w:i w:val="0"/>
          <w:strike w:val="0"/>
          <w:color w:val="auto"/>
          <w:sz w:val="24"/>
          <w:szCs w:val="21"/>
          <w:highlight w:val="none"/>
          <w:u w:val="none"/>
        </w:rPr>
        <w:t>2.猎头公司应对推荐人才提供人才背景调查服务（包括且不限于重大疾病史、有无违法犯罪记录、历年工作情况调研等）。</w:t>
      </w:r>
    </w:p>
    <w:p w14:paraId="00EF7B1D">
      <w:pPr>
        <w:keepNext w:val="0"/>
        <w:keepLines w:val="0"/>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二、服务标准</w:t>
      </w:r>
    </w:p>
    <w:p w14:paraId="13974E06">
      <w:pPr>
        <w:spacing w:after="120" w:line="360" w:lineRule="auto"/>
        <w:ind w:firstLine="480" w:firstLineChars="200"/>
        <w:jc w:val="both"/>
        <w:rPr>
          <w:rFonts w:hint="eastAsia" w:ascii="宋体" w:hAnsi="宋体" w:eastAsia="宋体" w:cs="宋体"/>
          <w:b w:val="0"/>
          <w:i w:val="0"/>
          <w:strike w:val="0"/>
          <w:color w:val="auto"/>
          <w:sz w:val="24"/>
          <w:szCs w:val="21"/>
          <w:highlight w:val="none"/>
          <w:u w:val="none"/>
        </w:rPr>
      </w:pPr>
      <w:r>
        <w:rPr>
          <w:rFonts w:hint="eastAsia" w:ascii="宋体" w:hAnsi="宋体" w:eastAsia="宋体" w:cs="宋体"/>
          <w:b w:val="0"/>
          <w:i w:val="0"/>
          <w:strike w:val="0"/>
          <w:color w:val="auto"/>
          <w:sz w:val="24"/>
          <w:szCs w:val="21"/>
          <w:highlight w:val="none"/>
          <w:u w:val="none"/>
        </w:rPr>
        <w:t>1.服务期内需配合采购人协调候选人面谈时间，面谈结束后，双方意向确定后协助候选人办理离职手续和入职手续。</w:t>
      </w:r>
    </w:p>
    <w:p w14:paraId="61DA79EC">
      <w:pPr>
        <w:spacing w:after="120" w:line="360" w:lineRule="auto"/>
        <w:ind w:firstLine="480" w:firstLineChars="200"/>
        <w:jc w:val="both"/>
        <w:rPr>
          <w:rFonts w:hint="eastAsia" w:ascii="宋体" w:hAnsi="宋体" w:eastAsia="宋体" w:cs="宋体"/>
          <w:b w:val="0"/>
          <w:i w:val="0"/>
          <w:strike w:val="0"/>
          <w:color w:val="auto"/>
          <w:sz w:val="24"/>
          <w:szCs w:val="21"/>
          <w:highlight w:val="none"/>
          <w:u w:val="none"/>
        </w:rPr>
      </w:pPr>
      <w:r>
        <w:rPr>
          <w:rFonts w:hint="eastAsia" w:ascii="宋体" w:hAnsi="宋体" w:eastAsia="宋体" w:cs="宋体"/>
          <w:b w:val="0"/>
          <w:i w:val="0"/>
          <w:strike w:val="0"/>
          <w:color w:val="auto"/>
          <w:sz w:val="24"/>
          <w:szCs w:val="21"/>
          <w:highlight w:val="none"/>
          <w:u w:val="none"/>
          <w:lang w:val="en-US" w:eastAsia="zh-CN"/>
        </w:rPr>
        <w:t>2.</w:t>
      </w:r>
      <w:r>
        <w:rPr>
          <w:rFonts w:hint="eastAsia" w:ascii="宋体" w:hAnsi="宋体" w:eastAsia="宋体" w:cs="宋体"/>
          <w:b w:val="0"/>
          <w:i w:val="0"/>
          <w:strike w:val="0"/>
          <w:color w:val="auto"/>
          <w:sz w:val="24"/>
          <w:szCs w:val="21"/>
          <w:highlight w:val="none"/>
          <w:u w:val="none"/>
        </w:rPr>
        <w:t>采购人提出岗位需求时，应在约定时限内为采购方推荐合适的人才。</w:t>
      </w:r>
    </w:p>
    <w:p w14:paraId="3DE87DF3">
      <w:pPr>
        <w:spacing w:after="120" w:line="360" w:lineRule="auto"/>
        <w:ind w:firstLine="480" w:firstLineChars="200"/>
        <w:jc w:val="both"/>
        <w:rPr>
          <w:rFonts w:hint="eastAsia" w:ascii="宋体" w:hAnsi="宋体" w:eastAsia="宋体" w:cs="宋体"/>
          <w:b w:val="0"/>
          <w:i w:val="0"/>
          <w:strike w:val="0"/>
          <w:color w:val="auto"/>
          <w:sz w:val="24"/>
          <w:szCs w:val="21"/>
          <w:highlight w:val="none"/>
          <w:u w:val="none"/>
        </w:rPr>
      </w:pPr>
      <w:r>
        <w:rPr>
          <w:rFonts w:hint="eastAsia" w:ascii="宋体" w:hAnsi="宋体" w:eastAsia="宋体" w:cs="宋体"/>
          <w:b w:val="0"/>
          <w:i w:val="0"/>
          <w:strike w:val="0"/>
          <w:color w:val="auto"/>
          <w:sz w:val="24"/>
          <w:szCs w:val="21"/>
          <w:highlight w:val="none"/>
          <w:u w:val="none"/>
          <w:lang w:val="en-US" w:eastAsia="zh-CN"/>
        </w:rPr>
        <w:t>3</w:t>
      </w:r>
      <w:r>
        <w:rPr>
          <w:rFonts w:hint="eastAsia" w:ascii="宋体" w:hAnsi="宋体" w:eastAsia="宋体" w:cs="宋体"/>
          <w:b w:val="0"/>
          <w:i w:val="0"/>
          <w:strike w:val="0"/>
          <w:color w:val="auto"/>
          <w:sz w:val="24"/>
          <w:szCs w:val="21"/>
          <w:highlight w:val="none"/>
          <w:u w:val="none"/>
        </w:rPr>
        <w:t>.推荐候选人员信息必须客观、真实有效。</w:t>
      </w:r>
    </w:p>
    <w:p w14:paraId="29EF7178">
      <w:pPr>
        <w:spacing w:after="120" w:line="360" w:lineRule="auto"/>
        <w:ind w:firstLine="480" w:firstLineChars="200"/>
        <w:jc w:val="both"/>
        <w:rPr>
          <w:rFonts w:hint="eastAsia" w:ascii="宋体" w:hAnsi="宋体" w:eastAsia="宋体" w:cs="宋体"/>
          <w:b w:val="0"/>
          <w:i w:val="0"/>
          <w:strike w:val="0"/>
          <w:color w:val="auto"/>
          <w:sz w:val="24"/>
          <w:szCs w:val="21"/>
          <w:highlight w:val="none"/>
          <w:u w:val="none"/>
        </w:rPr>
      </w:pPr>
      <w:r>
        <w:rPr>
          <w:rFonts w:hint="eastAsia" w:ascii="宋体" w:hAnsi="宋体" w:eastAsia="宋体" w:cs="宋体"/>
          <w:b w:val="0"/>
          <w:i w:val="0"/>
          <w:strike w:val="0"/>
          <w:color w:val="auto"/>
          <w:sz w:val="24"/>
          <w:szCs w:val="21"/>
          <w:highlight w:val="none"/>
          <w:u w:val="none"/>
          <w:lang w:val="en-US" w:eastAsia="zh-CN"/>
        </w:rPr>
        <w:t>4</w:t>
      </w:r>
      <w:r>
        <w:rPr>
          <w:rFonts w:hint="eastAsia" w:ascii="宋体" w:hAnsi="宋体" w:eastAsia="宋体" w:cs="宋体"/>
          <w:b w:val="0"/>
          <w:i w:val="0"/>
          <w:strike w:val="0"/>
          <w:color w:val="auto"/>
          <w:sz w:val="24"/>
          <w:szCs w:val="21"/>
          <w:highlight w:val="none"/>
          <w:u w:val="none"/>
        </w:rPr>
        <w:t>..</w:t>
      </w:r>
      <w:r>
        <w:rPr>
          <w:rFonts w:hint="eastAsia" w:ascii="宋体" w:hAnsi="宋体" w:eastAsia="宋体" w:cs="宋体"/>
          <w:b w:val="0"/>
          <w:i w:val="0"/>
          <w:strike w:val="0"/>
          <w:color w:val="auto"/>
          <w:sz w:val="24"/>
          <w:szCs w:val="21"/>
          <w:highlight w:val="none"/>
          <w:u w:val="none"/>
          <w:lang w:eastAsia="zh-CN"/>
        </w:rPr>
        <w:t>成交单位</w:t>
      </w:r>
      <w:r>
        <w:rPr>
          <w:rFonts w:hint="eastAsia" w:ascii="宋体" w:hAnsi="宋体" w:eastAsia="宋体" w:cs="宋体"/>
          <w:b w:val="0"/>
          <w:i w:val="0"/>
          <w:strike w:val="0"/>
          <w:color w:val="auto"/>
          <w:sz w:val="24"/>
          <w:szCs w:val="21"/>
          <w:highlight w:val="none"/>
          <w:u w:val="none"/>
        </w:rPr>
        <w:t>不得向采购人收取任何启动金，如</w:t>
      </w:r>
      <w:r>
        <w:rPr>
          <w:rFonts w:hint="eastAsia" w:ascii="宋体" w:hAnsi="宋体" w:eastAsia="宋体" w:cs="宋体"/>
          <w:b w:val="0"/>
          <w:i w:val="0"/>
          <w:strike w:val="0"/>
          <w:color w:val="auto"/>
          <w:sz w:val="24"/>
          <w:szCs w:val="21"/>
          <w:highlight w:val="none"/>
          <w:u w:val="none"/>
          <w:lang w:eastAsia="zh-CN"/>
        </w:rPr>
        <w:t>成交单位</w:t>
      </w:r>
      <w:r>
        <w:rPr>
          <w:rFonts w:hint="eastAsia" w:ascii="宋体" w:hAnsi="宋体" w:eastAsia="宋体" w:cs="宋体"/>
          <w:b w:val="0"/>
          <w:i w:val="0"/>
          <w:strike w:val="0"/>
          <w:color w:val="auto"/>
          <w:sz w:val="24"/>
          <w:szCs w:val="21"/>
          <w:highlight w:val="none"/>
          <w:u w:val="none"/>
        </w:rPr>
        <w:t>向采购人推荐候选人失败的，不得收取任何费用；如</w:t>
      </w:r>
      <w:r>
        <w:rPr>
          <w:rFonts w:hint="eastAsia" w:ascii="宋体" w:hAnsi="宋体" w:eastAsia="宋体" w:cs="宋体"/>
          <w:b w:val="0"/>
          <w:i w:val="0"/>
          <w:strike w:val="0"/>
          <w:color w:val="auto"/>
          <w:sz w:val="24"/>
          <w:szCs w:val="21"/>
          <w:highlight w:val="none"/>
          <w:u w:val="none"/>
          <w:lang w:eastAsia="zh-CN"/>
        </w:rPr>
        <w:t>成交单位</w:t>
      </w:r>
      <w:r>
        <w:rPr>
          <w:rFonts w:hint="eastAsia" w:ascii="宋体" w:hAnsi="宋体" w:eastAsia="宋体" w:cs="宋体"/>
          <w:b w:val="0"/>
          <w:i w:val="0"/>
          <w:strike w:val="0"/>
          <w:color w:val="auto"/>
          <w:sz w:val="24"/>
          <w:szCs w:val="21"/>
          <w:highlight w:val="none"/>
          <w:u w:val="none"/>
        </w:rPr>
        <w:t>向采购人推荐候选人成功的，以约定收取服务费用。</w:t>
      </w:r>
    </w:p>
    <w:p w14:paraId="61E0C9A1">
      <w:pPr>
        <w:spacing w:after="120" w:line="360" w:lineRule="auto"/>
        <w:ind w:firstLine="480" w:firstLineChars="200"/>
        <w:jc w:val="both"/>
        <w:rPr>
          <w:rFonts w:hint="eastAsia" w:ascii="宋体" w:hAnsi="宋体" w:eastAsia="宋体" w:cs="宋体"/>
          <w:b w:val="0"/>
          <w:i w:val="0"/>
          <w:strike w:val="0"/>
          <w:color w:val="auto"/>
          <w:sz w:val="24"/>
          <w:szCs w:val="21"/>
          <w:highlight w:val="none"/>
          <w:u w:val="none"/>
        </w:rPr>
      </w:pPr>
      <w:r>
        <w:rPr>
          <w:rFonts w:hint="eastAsia" w:ascii="宋体" w:hAnsi="宋体" w:eastAsia="宋体"/>
          <w:b w:val="0"/>
          <w:i w:val="0"/>
          <w:strike w:val="0"/>
          <w:color w:val="auto"/>
          <w:sz w:val="24"/>
          <w:highlight w:val="none"/>
          <w:u w:val="none"/>
          <w:lang w:val="en-US" w:eastAsia="zh-CN"/>
        </w:rPr>
        <w:t>5</w:t>
      </w:r>
      <w:r>
        <w:rPr>
          <w:rFonts w:hint="eastAsia" w:ascii="宋体" w:hAnsi="宋体" w:eastAsia="宋体" w:cs="宋体"/>
          <w:b w:val="0"/>
          <w:i w:val="0"/>
          <w:strike w:val="0"/>
          <w:color w:val="auto"/>
          <w:sz w:val="24"/>
          <w:szCs w:val="21"/>
          <w:highlight w:val="none"/>
          <w:u w:val="none"/>
        </w:rPr>
        <w:t>.</w:t>
      </w:r>
      <w:r>
        <w:rPr>
          <w:rFonts w:hint="eastAsia" w:ascii="宋体" w:hAnsi="宋体" w:eastAsia="宋体" w:cs="宋体"/>
          <w:b w:val="0"/>
          <w:i w:val="0"/>
          <w:strike w:val="0"/>
          <w:color w:val="auto"/>
          <w:sz w:val="24"/>
          <w:szCs w:val="21"/>
          <w:highlight w:val="none"/>
          <w:u w:val="none"/>
          <w:lang w:eastAsia="zh-CN"/>
        </w:rPr>
        <w:t>成交单位</w:t>
      </w:r>
      <w:r>
        <w:rPr>
          <w:rFonts w:hint="eastAsia" w:ascii="宋体" w:hAnsi="宋体" w:eastAsia="宋体" w:cs="宋体"/>
          <w:b w:val="0"/>
          <w:i w:val="0"/>
          <w:strike w:val="0"/>
          <w:color w:val="auto"/>
          <w:sz w:val="24"/>
          <w:szCs w:val="21"/>
          <w:highlight w:val="none"/>
          <w:u w:val="none"/>
        </w:rPr>
        <w:t>组织双方安排面试，若有异地候选人需要现场面试的，候选人的交通费、住宿费自负或由</w:t>
      </w:r>
      <w:r>
        <w:rPr>
          <w:rFonts w:hint="eastAsia" w:ascii="宋体" w:hAnsi="宋体" w:eastAsia="宋体" w:cs="宋体"/>
          <w:b w:val="0"/>
          <w:i w:val="0"/>
          <w:strike w:val="0"/>
          <w:color w:val="auto"/>
          <w:sz w:val="24"/>
          <w:szCs w:val="21"/>
          <w:highlight w:val="none"/>
          <w:u w:val="none"/>
          <w:lang w:eastAsia="zh-CN"/>
        </w:rPr>
        <w:t>成交单位</w:t>
      </w:r>
      <w:r>
        <w:rPr>
          <w:rFonts w:hint="eastAsia" w:ascii="宋体" w:hAnsi="宋体" w:eastAsia="宋体" w:cs="宋体"/>
          <w:b w:val="0"/>
          <w:i w:val="0"/>
          <w:strike w:val="0"/>
          <w:color w:val="auto"/>
          <w:sz w:val="24"/>
          <w:szCs w:val="21"/>
          <w:highlight w:val="none"/>
          <w:u w:val="none"/>
        </w:rPr>
        <w:t>承担，与采购人无关。面试后，若采购人认为候选人不合适，则由</w:t>
      </w:r>
      <w:r>
        <w:rPr>
          <w:rFonts w:hint="eastAsia" w:ascii="宋体" w:hAnsi="宋体" w:eastAsia="宋体" w:cs="宋体"/>
          <w:b w:val="0"/>
          <w:i w:val="0"/>
          <w:strike w:val="0"/>
          <w:color w:val="auto"/>
          <w:sz w:val="24"/>
          <w:szCs w:val="21"/>
          <w:highlight w:val="none"/>
          <w:u w:val="none"/>
          <w:lang w:eastAsia="zh-CN"/>
        </w:rPr>
        <w:t>成交单位</w:t>
      </w:r>
      <w:r>
        <w:rPr>
          <w:rFonts w:hint="eastAsia" w:ascii="宋体" w:hAnsi="宋体" w:eastAsia="宋体" w:cs="宋体"/>
          <w:b w:val="0"/>
          <w:i w:val="0"/>
          <w:strike w:val="0"/>
          <w:color w:val="auto"/>
          <w:sz w:val="24"/>
          <w:szCs w:val="21"/>
          <w:highlight w:val="none"/>
          <w:u w:val="none"/>
        </w:rPr>
        <w:t>重新推荐合适人选。</w:t>
      </w:r>
    </w:p>
    <w:p w14:paraId="07A418CF">
      <w:pPr>
        <w:spacing w:after="120" w:line="360" w:lineRule="auto"/>
        <w:ind w:firstLine="480" w:firstLineChars="200"/>
        <w:jc w:val="both"/>
        <w:rPr>
          <w:rFonts w:hint="eastAsia" w:ascii="宋体" w:hAnsi="宋体" w:eastAsia="宋体" w:cs="宋体"/>
          <w:b w:val="0"/>
          <w:i w:val="0"/>
          <w:strike w:val="0"/>
          <w:color w:val="auto"/>
          <w:sz w:val="24"/>
          <w:szCs w:val="21"/>
          <w:highlight w:val="none"/>
          <w:u w:val="none"/>
        </w:rPr>
      </w:pPr>
      <w:r>
        <w:rPr>
          <w:rFonts w:hint="eastAsia" w:ascii="宋体" w:hAnsi="宋体" w:eastAsia="宋体"/>
          <w:b w:val="0"/>
          <w:i w:val="0"/>
          <w:strike w:val="0"/>
          <w:color w:val="auto"/>
          <w:sz w:val="24"/>
          <w:highlight w:val="none"/>
          <w:u w:val="none"/>
          <w:lang w:val="en-US" w:eastAsia="zh-CN"/>
        </w:rPr>
        <w:t>6</w:t>
      </w:r>
      <w:r>
        <w:rPr>
          <w:rFonts w:hint="eastAsia" w:ascii="宋体" w:hAnsi="宋体" w:eastAsia="宋体" w:cs="宋体"/>
          <w:b w:val="0"/>
          <w:i w:val="0"/>
          <w:strike w:val="0"/>
          <w:color w:val="auto"/>
          <w:sz w:val="24"/>
          <w:szCs w:val="21"/>
          <w:highlight w:val="none"/>
          <w:u w:val="none"/>
        </w:rPr>
        <w:t>.</w:t>
      </w:r>
      <w:r>
        <w:rPr>
          <w:rFonts w:hint="eastAsia" w:ascii="宋体" w:hAnsi="宋体" w:eastAsia="宋体" w:cs="宋体"/>
          <w:b w:val="0"/>
          <w:i w:val="0"/>
          <w:strike w:val="0"/>
          <w:color w:val="auto"/>
          <w:sz w:val="24"/>
          <w:szCs w:val="21"/>
          <w:highlight w:val="none"/>
          <w:u w:val="none"/>
          <w:lang w:eastAsia="zh-CN"/>
        </w:rPr>
        <w:t>成交单位</w:t>
      </w:r>
      <w:r>
        <w:rPr>
          <w:rFonts w:hint="eastAsia" w:ascii="宋体" w:hAnsi="宋体" w:eastAsia="宋体" w:cs="宋体"/>
          <w:b w:val="0"/>
          <w:i w:val="0"/>
          <w:strike w:val="0"/>
          <w:color w:val="auto"/>
          <w:sz w:val="24"/>
          <w:szCs w:val="21"/>
          <w:highlight w:val="none"/>
          <w:u w:val="none"/>
        </w:rPr>
        <w:t>在采购人确认聘用人选后，需提供候选人背景调查报告（包括但不限于候选人的教育经历、工作经历、以往人际关系及离职原因等），并协助采购人与被聘用者签订聘用协议等事宜。</w:t>
      </w:r>
      <w:r>
        <w:rPr>
          <w:rFonts w:hint="eastAsia" w:ascii="宋体" w:hAnsi="宋体" w:eastAsia="宋体" w:cs="宋体"/>
          <w:b w:val="0"/>
          <w:i w:val="0"/>
          <w:strike w:val="0"/>
          <w:color w:val="auto"/>
          <w:sz w:val="24"/>
          <w:szCs w:val="21"/>
          <w:highlight w:val="none"/>
          <w:u w:val="none"/>
          <w:lang w:eastAsia="zh-CN"/>
        </w:rPr>
        <w:t>成交单位</w:t>
      </w:r>
      <w:r>
        <w:rPr>
          <w:rFonts w:hint="eastAsia" w:ascii="宋体" w:hAnsi="宋体" w:eastAsia="宋体" w:cs="宋体"/>
          <w:b w:val="0"/>
          <w:i w:val="0"/>
          <w:strike w:val="0"/>
          <w:color w:val="auto"/>
          <w:sz w:val="24"/>
          <w:szCs w:val="21"/>
          <w:highlight w:val="none"/>
          <w:u w:val="none"/>
        </w:rPr>
        <w:t>的调查报告仅供采购人参考，若采购人不认可背景调查报告，可拒绝录用候选人，并由</w:t>
      </w:r>
      <w:r>
        <w:rPr>
          <w:rFonts w:hint="eastAsia" w:ascii="宋体" w:hAnsi="宋体" w:eastAsia="宋体" w:cs="宋体"/>
          <w:b w:val="0"/>
          <w:i w:val="0"/>
          <w:strike w:val="0"/>
          <w:color w:val="auto"/>
          <w:sz w:val="24"/>
          <w:szCs w:val="21"/>
          <w:highlight w:val="none"/>
          <w:u w:val="none"/>
          <w:lang w:eastAsia="zh-CN"/>
        </w:rPr>
        <w:t>成交单位</w:t>
      </w:r>
      <w:r>
        <w:rPr>
          <w:rFonts w:hint="eastAsia" w:ascii="宋体" w:hAnsi="宋体" w:eastAsia="宋体" w:cs="宋体"/>
          <w:b w:val="0"/>
          <w:i w:val="0"/>
          <w:strike w:val="0"/>
          <w:color w:val="auto"/>
          <w:sz w:val="24"/>
          <w:szCs w:val="21"/>
          <w:highlight w:val="none"/>
          <w:u w:val="none"/>
        </w:rPr>
        <w:t>继续推荐候选人。</w:t>
      </w:r>
    </w:p>
    <w:p w14:paraId="58D1E85A">
      <w:pPr>
        <w:spacing w:after="120" w:line="360" w:lineRule="auto"/>
        <w:ind w:firstLine="480" w:firstLineChars="200"/>
        <w:jc w:val="both"/>
        <w:rPr>
          <w:rFonts w:hint="eastAsia" w:ascii="宋体" w:hAnsi="宋体" w:eastAsia="宋体" w:cs="宋体"/>
          <w:b w:val="0"/>
          <w:i w:val="0"/>
          <w:strike w:val="0"/>
          <w:color w:val="auto"/>
          <w:sz w:val="24"/>
          <w:szCs w:val="21"/>
          <w:highlight w:val="none"/>
          <w:u w:val="none"/>
        </w:rPr>
      </w:pPr>
      <w:r>
        <w:rPr>
          <w:rFonts w:hint="eastAsia" w:ascii="宋体" w:hAnsi="宋体" w:eastAsia="宋体"/>
          <w:b w:val="0"/>
          <w:i w:val="0"/>
          <w:strike w:val="0"/>
          <w:color w:val="auto"/>
          <w:sz w:val="24"/>
          <w:highlight w:val="none"/>
          <w:u w:val="none"/>
          <w:lang w:val="en-US" w:eastAsia="zh-CN"/>
        </w:rPr>
        <w:t>7</w:t>
      </w:r>
      <w:r>
        <w:rPr>
          <w:rFonts w:hint="eastAsia" w:ascii="宋体" w:hAnsi="宋体" w:eastAsia="宋体" w:cs="宋体"/>
          <w:b w:val="0"/>
          <w:i w:val="0"/>
          <w:strike w:val="0"/>
          <w:color w:val="auto"/>
          <w:sz w:val="24"/>
          <w:szCs w:val="21"/>
          <w:highlight w:val="none"/>
          <w:u w:val="none"/>
        </w:rPr>
        <w:t>.付款方式</w:t>
      </w:r>
    </w:p>
    <w:p w14:paraId="442608D0">
      <w:pPr>
        <w:spacing w:after="120" w:line="360" w:lineRule="auto"/>
        <w:ind w:firstLine="480" w:firstLineChars="200"/>
        <w:jc w:val="both"/>
        <w:rPr>
          <w:rFonts w:hint="eastAsia" w:ascii="宋体" w:hAnsi="宋体" w:eastAsia="宋体" w:cs="宋体"/>
          <w:b w:val="0"/>
          <w:i w:val="0"/>
          <w:strike w:val="0"/>
          <w:color w:val="auto"/>
          <w:sz w:val="24"/>
          <w:szCs w:val="21"/>
          <w:highlight w:val="none"/>
          <w:u w:val="none"/>
          <w:lang w:eastAsia="zh-CN"/>
        </w:rPr>
      </w:pPr>
      <w:r>
        <w:rPr>
          <w:rFonts w:hint="eastAsia" w:ascii="宋体" w:hAnsi="宋体" w:eastAsia="宋体" w:cs="宋体"/>
          <w:b w:val="0"/>
          <w:i w:val="0"/>
          <w:strike w:val="0"/>
          <w:color w:val="auto"/>
          <w:sz w:val="24"/>
          <w:szCs w:val="21"/>
          <w:highlight w:val="none"/>
          <w:u w:val="none"/>
          <w:lang w:val="en-US" w:eastAsia="zh-CN"/>
        </w:rPr>
        <w:t>7</w:t>
      </w:r>
      <w:r>
        <w:rPr>
          <w:rFonts w:hint="eastAsia" w:ascii="宋体" w:hAnsi="宋体" w:eastAsia="宋体" w:cs="宋体"/>
          <w:b w:val="0"/>
          <w:i w:val="0"/>
          <w:strike w:val="0"/>
          <w:color w:val="auto"/>
          <w:sz w:val="24"/>
          <w:szCs w:val="21"/>
          <w:highlight w:val="none"/>
          <w:u w:val="none"/>
        </w:rPr>
        <w:t>.1 收费模式：</w:t>
      </w:r>
      <w:r>
        <w:rPr>
          <w:rFonts w:hint="eastAsia" w:ascii="宋体" w:hAnsi="宋体" w:eastAsia="宋体" w:cs="宋体"/>
          <w:b w:val="0"/>
          <w:bCs/>
          <w:i w:val="0"/>
          <w:strike w:val="0"/>
          <w:color w:val="auto"/>
          <w:sz w:val="24"/>
          <w:szCs w:val="21"/>
          <w:highlight w:val="none"/>
          <w:u w:val="none"/>
          <w:lang w:eastAsia="zh-CN"/>
        </w:rPr>
        <w:t>成交单位按正式聘用人员年薪比例收取服务费，具体收费比例以报价人最终响应报价为准。</w:t>
      </w:r>
    </w:p>
    <w:p w14:paraId="745ECB39">
      <w:pPr>
        <w:spacing w:after="120" w:line="360" w:lineRule="auto"/>
        <w:ind w:firstLine="480" w:firstLineChars="200"/>
        <w:jc w:val="both"/>
        <w:rPr>
          <w:rFonts w:hint="eastAsia" w:ascii="宋体" w:hAnsi="宋体" w:eastAsia="宋体" w:cs="宋体"/>
          <w:color w:val="auto"/>
          <w:kern w:val="0"/>
          <w:sz w:val="24"/>
          <w:szCs w:val="24"/>
          <w:highlight w:val="none"/>
          <w:lang w:eastAsia="zh-CN" w:bidi="ar"/>
        </w:rPr>
      </w:pPr>
      <w:r>
        <w:rPr>
          <w:rFonts w:hint="eastAsia" w:ascii="宋体" w:hAnsi="宋体" w:eastAsia="宋体" w:cs="宋体"/>
          <w:b w:val="0"/>
          <w:i w:val="0"/>
          <w:strike w:val="0"/>
          <w:color w:val="auto"/>
          <w:sz w:val="24"/>
          <w:szCs w:val="21"/>
          <w:highlight w:val="none"/>
          <w:u w:val="none"/>
          <w:lang w:val="en-US" w:eastAsia="zh-CN"/>
        </w:rPr>
        <w:t>7</w:t>
      </w:r>
      <w:r>
        <w:rPr>
          <w:rFonts w:ascii="宋体" w:hAnsi="宋体" w:eastAsia="宋体" w:cs="宋体"/>
          <w:b w:val="0"/>
          <w:i w:val="0"/>
          <w:strike w:val="0"/>
          <w:color w:val="auto"/>
          <w:sz w:val="24"/>
          <w:szCs w:val="21"/>
          <w:highlight w:val="none"/>
          <w:u w:val="none"/>
        </w:rPr>
        <w:t>.</w:t>
      </w:r>
      <w:r>
        <w:rPr>
          <w:rFonts w:hint="eastAsia" w:ascii="宋体" w:hAnsi="宋体" w:eastAsia="宋体" w:cs="宋体"/>
          <w:b w:val="0"/>
          <w:i w:val="0"/>
          <w:strike w:val="0"/>
          <w:color w:val="auto"/>
          <w:sz w:val="24"/>
          <w:szCs w:val="21"/>
          <w:highlight w:val="none"/>
          <w:u w:val="none"/>
        </w:rPr>
        <w:t>2 候选人正式入职后支付服务费的</w:t>
      </w:r>
      <w:r>
        <w:rPr>
          <w:rFonts w:hint="eastAsia" w:ascii="宋体" w:hAnsi="宋体" w:eastAsia="宋体" w:cs="宋体"/>
          <w:b w:val="0"/>
          <w:i w:val="0"/>
          <w:strike w:val="0"/>
          <w:color w:val="auto"/>
          <w:sz w:val="24"/>
          <w:szCs w:val="21"/>
          <w:highlight w:val="none"/>
          <w:u w:val="none"/>
          <w:lang w:val="en-US" w:eastAsia="zh-CN"/>
        </w:rPr>
        <w:t>6</w:t>
      </w:r>
      <w:r>
        <w:rPr>
          <w:rFonts w:hint="eastAsia" w:ascii="宋体" w:hAnsi="宋体" w:eastAsia="宋体" w:cs="宋体"/>
          <w:b w:val="0"/>
          <w:i w:val="0"/>
          <w:strike w:val="0"/>
          <w:color w:val="auto"/>
          <w:sz w:val="24"/>
          <w:szCs w:val="21"/>
          <w:highlight w:val="none"/>
          <w:u w:val="none"/>
        </w:rPr>
        <w:t>0%，通过试用期转正后支付剩余的</w:t>
      </w:r>
      <w:r>
        <w:rPr>
          <w:rFonts w:hint="eastAsia" w:ascii="宋体" w:hAnsi="宋体" w:eastAsia="宋体" w:cs="宋体"/>
          <w:b w:val="0"/>
          <w:i w:val="0"/>
          <w:strike w:val="0"/>
          <w:color w:val="auto"/>
          <w:sz w:val="24"/>
          <w:szCs w:val="21"/>
          <w:highlight w:val="none"/>
          <w:u w:val="none"/>
          <w:lang w:val="en-US" w:eastAsia="zh-CN"/>
        </w:rPr>
        <w:t>4</w:t>
      </w:r>
      <w:r>
        <w:rPr>
          <w:rFonts w:hint="eastAsia" w:ascii="宋体" w:hAnsi="宋体" w:eastAsia="宋体" w:cs="宋体"/>
          <w:b w:val="0"/>
          <w:i w:val="0"/>
          <w:strike w:val="0"/>
          <w:color w:val="auto"/>
          <w:sz w:val="24"/>
          <w:szCs w:val="21"/>
          <w:highlight w:val="none"/>
          <w:u w:val="none"/>
        </w:rPr>
        <w:t>0%</w:t>
      </w:r>
      <w:r>
        <w:rPr>
          <w:rFonts w:hint="eastAsia" w:ascii="宋体" w:hAnsi="宋体" w:eastAsia="宋体" w:cs="宋体"/>
          <w:b w:val="0"/>
          <w:i w:val="0"/>
          <w:strike w:val="0"/>
          <w:color w:val="auto"/>
          <w:sz w:val="24"/>
          <w:szCs w:val="21"/>
          <w:highlight w:val="none"/>
          <w:u w:val="none"/>
          <w:lang w:eastAsia="zh-CN"/>
        </w:rPr>
        <w:t>，</w:t>
      </w:r>
      <w:r>
        <w:rPr>
          <w:rFonts w:hint="eastAsia" w:ascii="宋体" w:hAnsi="宋体" w:eastAsia="宋体" w:cs="宋体"/>
          <w:color w:val="auto"/>
          <w:kern w:val="0"/>
          <w:sz w:val="24"/>
          <w:szCs w:val="24"/>
          <w:highlight w:val="none"/>
          <w:lang w:bidi="ar"/>
        </w:rPr>
        <w:t>付款前</w:t>
      </w:r>
      <w:r>
        <w:rPr>
          <w:rFonts w:hint="eastAsia" w:ascii="宋体" w:hAnsi="宋体" w:eastAsia="宋体" w:cs="宋体"/>
          <w:color w:val="auto"/>
          <w:kern w:val="0"/>
          <w:sz w:val="24"/>
          <w:szCs w:val="24"/>
          <w:highlight w:val="none"/>
          <w:lang w:eastAsia="zh-CN" w:bidi="ar"/>
        </w:rPr>
        <w:t>成交单位</w:t>
      </w:r>
      <w:r>
        <w:rPr>
          <w:rFonts w:hint="eastAsia" w:ascii="宋体" w:hAnsi="宋体" w:eastAsia="宋体" w:cs="宋体"/>
          <w:color w:val="auto"/>
          <w:kern w:val="0"/>
          <w:sz w:val="24"/>
          <w:szCs w:val="24"/>
          <w:highlight w:val="none"/>
          <w:lang w:bidi="ar"/>
        </w:rPr>
        <w:t>须提供等额增值税发票，否则不予支付</w:t>
      </w:r>
      <w:r>
        <w:rPr>
          <w:rFonts w:hint="eastAsia" w:ascii="宋体" w:hAnsi="宋体" w:eastAsia="宋体" w:cs="宋体"/>
          <w:b w:val="0"/>
          <w:i w:val="0"/>
          <w:strike w:val="0"/>
          <w:color w:val="auto"/>
          <w:sz w:val="24"/>
          <w:szCs w:val="21"/>
          <w:highlight w:val="none"/>
          <w:u w:val="none"/>
        </w:rPr>
        <w:t>（该服务费为猎取一个人才的费用）</w:t>
      </w:r>
      <w:r>
        <w:rPr>
          <w:rFonts w:hint="eastAsia" w:ascii="宋体" w:hAnsi="宋体" w:eastAsia="宋体" w:cs="宋体"/>
          <w:b w:val="0"/>
          <w:i w:val="0"/>
          <w:strike w:val="0"/>
          <w:color w:val="auto"/>
          <w:sz w:val="24"/>
          <w:szCs w:val="21"/>
          <w:highlight w:val="none"/>
          <w:u w:val="none"/>
          <w:lang w:eastAsia="zh-CN"/>
        </w:rPr>
        <w:t>。</w:t>
      </w:r>
    </w:p>
    <w:p w14:paraId="4FA99C6A">
      <w:pPr>
        <w:spacing w:after="120" w:line="360" w:lineRule="auto"/>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7.3 成交单位</w:t>
      </w:r>
      <w:r>
        <w:rPr>
          <w:rFonts w:hint="eastAsia" w:ascii="宋体" w:hAnsi="宋体" w:eastAsia="宋体" w:cs="宋体"/>
          <w:color w:val="auto"/>
          <w:kern w:val="0"/>
          <w:sz w:val="24"/>
          <w:szCs w:val="24"/>
          <w:highlight w:val="none"/>
          <w:lang w:bidi="ar"/>
        </w:rPr>
        <w:t>就推荐人选提供六个月保证期。保证期内，候选人自入职之日起6个月内发生离职，</w:t>
      </w:r>
      <w:r>
        <w:rPr>
          <w:rFonts w:hint="eastAsia" w:ascii="宋体" w:hAnsi="宋体" w:eastAsia="宋体" w:cs="宋体"/>
          <w:color w:val="auto"/>
          <w:kern w:val="0"/>
          <w:sz w:val="24"/>
          <w:szCs w:val="24"/>
          <w:highlight w:val="none"/>
          <w:lang w:eastAsia="zh-CN" w:bidi="ar"/>
        </w:rPr>
        <w:t>成交单位</w:t>
      </w:r>
      <w:r>
        <w:rPr>
          <w:rFonts w:hint="eastAsia" w:ascii="宋体" w:hAnsi="宋体" w:eastAsia="宋体" w:cs="宋体"/>
          <w:color w:val="auto"/>
          <w:kern w:val="0"/>
          <w:sz w:val="24"/>
          <w:szCs w:val="24"/>
          <w:highlight w:val="none"/>
          <w:lang w:bidi="ar"/>
        </w:rPr>
        <w:t>承诺退还该候选人</w:t>
      </w:r>
      <w:r>
        <w:rPr>
          <w:rFonts w:hint="default" w:ascii="宋体" w:hAnsi="宋体" w:eastAsia="宋体" w:cs="宋体"/>
          <w:color w:val="auto"/>
          <w:kern w:val="0"/>
          <w:sz w:val="24"/>
          <w:szCs w:val="24"/>
          <w:highlight w:val="none"/>
          <w:lang w:bidi="ar"/>
        </w:rPr>
        <w:t>全部服务费。</w:t>
      </w:r>
    </w:p>
    <w:p w14:paraId="024D06CA">
      <w:pPr>
        <w:widowControl w:val="0"/>
        <w:spacing w:after="120" w:line="360" w:lineRule="auto"/>
        <w:ind w:leftChars="0" w:firstLine="480" w:firstLineChars="200"/>
        <w:jc w:val="both"/>
        <w:rPr>
          <w:rFonts w:hint="eastAsia" w:ascii="宋体" w:hAnsi="宋体" w:eastAsia="宋体" w:cs="宋体"/>
          <w:b w:val="0"/>
          <w:i w:val="0"/>
          <w:strike w:val="0"/>
          <w:color w:val="auto"/>
          <w:kern w:val="2"/>
          <w:sz w:val="24"/>
          <w:szCs w:val="21"/>
          <w:highlight w:val="none"/>
          <w:u w:val="none"/>
          <w:lang w:val="en-US" w:eastAsia="zh-CN" w:bidi="ar-SA"/>
        </w:rPr>
      </w:pPr>
      <w:r>
        <w:rPr>
          <w:rFonts w:hint="eastAsia" w:ascii="宋体" w:hAnsi="宋体" w:eastAsia="宋体" w:cs="宋体"/>
          <w:b w:val="0"/>
          <w:i w:val="0"/>
          <w:strike w:val="0"/>
          <w:color w:val="auto"/>
          <w:kern w:val="2"/>
          <w:sz w:val="24"/>
          <w:szCs w:val="21"/>
          <w:highlight w:val="none"/>
          <w:u w:val="none"/>
          <w:lang w:val="en-US" w:eastAsia="zh-CN" w:bidi="ar-SA"/>
        </w:rPr>
        <w:t>8.成交单位需承诺两年内不猎取为采购人猎聘录用的人才。</w:t>
      </w:r>
    </w:p>
    <w:p w14:paraId="44BB0CD2">
      <w:pPr>
        <w:widowControl w:val="0"/>
        <w:spacing w:after="120"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三、报价要求</w:t>
      </w:r>
    </w:p>
    <w:p w14:paraId="1B1097BD">
      <w:pPr>
        <w:widowControl w:val="0"/>
        <w:spacing w:after="120" w:line="360" w:lineRule="auto"/>
        <w:ind w:leftChars="0" w:firstLine="480" w:firstLineChars="200"/>
        <w:jc w:val="both"/>
        <w:rPr>
          <w:rFonts w:hint="eastAsia" w:ascii="宋体" w:hAnsi="宋体" w:eastAsia="宋体" w:cs="宋体"/>
          <w:b w:val="0"/>
          <w:i w:val="0"/>
          <w:strike w:val="0"/>
          <w:color w:val="auto"/>
          <w:kern w:val="2"/>
          <w:sz w:val="24"/>
          <w:szCs w:val="21"/>
          <w:highlight w:val="none"/>
          <w:u w:val="none"/>
          <w:lang w:val="en-US" w:eastAsia="zh-CN" w:bidi="ar-SA"/>
        </w:rPr>
      </w:pPr>
      <w:r>
        <w:rPr>
          <w:rFonts w:hint="eastAsia" w:ascii="宋体" w:hAnsi="宋体" w:eastAsia="宋体" w:cs="宋体"/>
          <w:b w:val="0"/>
          <w:i w:val="0"/>
          <w:strike w:val="0"/>
          <w:color w:val="auto"/>
          <w:kern w:val="2"/>
          <w:sz w:val="24"/>
          <w:szCs w:val="21"/>
          <w:highlight w:val="none"/>
          <w:u w:val="none"/>
          <w:lang w:val="en-US" w:eastAsia="zh-CN" w:bidi="ar-SA"/>
        </w:rPr>
        <w:t>本项目服务费收费比例上限见下表，响应报价超过收费比例上限为无效标。具体报价请参考下表中：</w:t>
      </w:r>
    </w:p>
    <w:tbl>
      <w:tblPr>
        <w:tblStyle w:val="25"/>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5"/>
        <w:gridCol w:w="4614"/>
      </w:tblGrid>
      <w:tr w14:paraId="7928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3785" w:type="dxa"/>
            <w:vAlign w:val="center"/>
          </w:tcPr>
          <w:p w14:paraId="79436643">
            <w:pPr>
              <w:snapToGrid w:val="0"/>
              <w:spacing w:line="240" w:lineRule="auto"/>
              <w:ind w:left="0" w:leftChars="0" w:right="0" w:rightChars="0" w:firstLine="0" w:firstLineChars="0"/>
              <w:jc w:val="center"/>
              <w:rPr>
                <w:rFonts w:hint="eastAsia" w:ascii="黑体" w:hAnsi="黑体" w:eastAsia="黑体" w:cs="宋体"/>
                <w:b/>
                <w:color w:val="auto"/>
                <w:sz w:val="20"/>
                <w:szCs w:val="20"/>
                <w:highlight w:val="none"/>
              </w:rPr>
            </w:pPr>
            <w:r>
              <w:rPr>
                <w:rFonts w:hint="eastAsia" w:ascii="黑体" w:hAnsi="黑体" w:eastAsia="黑体" w:cs="宋体"/>
                <w:b/>
                <w:color w:val="auto"/>
                <w:sz w:val="20"/>
                <w:szCs w:val="20"/>
                <w:highlight w:val="none"/>
                <w:lang w:eastAsia="zh-CN"/>
              </w:rPr>
              <w:t>年薪</w:t>
            </w:r>
            <w:r>
              <w:rPr>
                <w:rFonts w:hint="eastAsia" w:ascii="黑体" w:hAnsi="黑体" w:eastAsia="黑体" w:cs="宋体"/>
                <w:b/>
                <w:color w:val="auto"/>
                <w:sz w:val="20"/>
                <w:szCs w:val="20"/>
                <w:highlight w:val="none"/>
              </w:rPr>
              <w:t>层级</w:t>
            </w:r>
          </w:p>
        </w:tc>
        <w:tc>
          <w:tcPr>
            <w:tcW w:w="4614" w:type="dxa"/>
            <w:vAlign w:val="center"/>
          </w:tcPr>
          <w:p w14:paraId="29B71373">
            <w:pPr>
              <w:snapToGrid w:val="0"/>
              <w:spacing w:line="240" w:lineRule="auto"/>
              <w:ind w:left="0" w:leftChars="0" w:right="0" w:rightChars="0" w:firstLine="0" w:firstLineChars="0"/>
              <w:jc w:val="center"/>
              <w:rPr>
                <w:rFonts w:hint="eastAsia" w:ascii="黑体" w:hAnsi="黑体" w:eastAsia="黑体" w:cs="宋体"/>
                <w:b/>
                <w:color w:val="auto"/>
                <w:sz w:val="20"/>
                <w:szCs w:val="20"/>
                <w:highlight w:val="none"/>
              </w:rPr>
            </w:pPr>
            <w:r>
              <w:rPr>
                <w:rFonts w:hint="eastAsia" w:ascii="黑体" w:hAnsi="黑体" w:eastAsia="黑体" w:cs="宋体"/>
                <w:b/>
                <w:color w:val="auto"/>
                <w:sz w:val="20"/>
                <w:szCs w:val="20"/>
                <w:highlight w:val="none"/>
              </w:rPr>
              <w:t>收费比例上限</w:t>
            </w:r>
          </w:p>
        </w:tc>
      </w:tr>
      <w:tr w14:paraId="4F03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785" w:type="dxa"/>
            <w:vAlign w:val="center"/>
          </w:tcPr>
          <w:p w14:paraId="13648726">
            <w:pPr>
              <w:snapToGrid w:val="0"/>
              <w:spacing w:line="240" w:lineRule="auto"/>
              <w:ind w:left="0" w:leftChars="0" w:right="0" w:rightChars="0" w:firstLine="0" w:firstLineChars="0"/>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0-100万</w:t>
            </w:r>
          </w:p>
        </w:tc>
        <w:tc>
          <w:tcPr>
            <w:tcW w:w="4614" w:type="dxa"/>
            <w:vAlign w:val="center"/>
          </w:tcPr>
          <w:p w14:paraId="12A18078">
            <w:pPr>
              <w:snapToGrid w:val="0"/>
              <w:spacing w:line="240" w:lineRule="auto"/>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w:t>
            </w:r>
          </w:p>
        </w:tc>
      </w:tr>
      <w:tr w14:paraId="7481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785" w:type="dxa"/>
            <w:vAlign w:val="center"/>
          </w:tcPr>
          <w:p w14:paraId="5A7E3B73">
            <w:pPr>
              <w:snapToGrid w:val="0"/>
              <w:spacing w:line="240" w:lineRule="auto"/>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100万以上</w:t>
            </w:r>
          </w:p>
        </w:tc>
        <w:tc>
          <w:tcPr>
            <w:tcW w:w="4614" w:type="dxa"/>
            <w:vAlign w:val="center"/>
          </w:tcPr>
          <w:p w14:paraId="37BBA0A4">
            <w:pPr>
              <w:snapToGrid w:val="0"/>
              <w:spacing w:line="240" w:lineRule="auto"/>
              <w:ind w:left="0" w:leftChars="0" w:right="0" w:rightChars="0" w:firstLine="0" w:firstLineChars="0"/>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25%</w:t>
            </w:r>
          </w:p>
        </w:tc>
      </w:tr>
    </w:tbl>
    <w:p w14:paraId="01143101">
      <w:pPr>
        <w:widowControl w:val="0"/>
        <w:spacing w:after="120" w:line="360" w:lineRule="auto"/>
        <w:ind w:leftChars="0" w:firstLine="420" w:firstLineChars="200"/>
        <w:jc w:val="both"/>
        <w:rPr>
          <w:rFonts w:hint="eastAsia" w:ascii="宋体" w:hAnsi="宋体" w:eastAsia="宋体" w:cs="宋体"/>
          <w:b w:val="0"/>
          <w:i w:val="0"/>
          <w:strike w:val="0"/>
          <w:color w:val="auto"/>
          <w:kern w:val="2"/>
          <w:sz w:val="21"/>
          <w:szCs w:val="18"/>
          <w:highlight w:val="none"/>
          <w:u w:val="none"/>
          <w:lang w:val="en-US" w:eastAsia="zh-CN" w:bidi="ar-SA"/>
        </w:rPr>
      </w:pPr>
      <w:r>
        <w:rPr>
          <w:rFonts w:hint="eastAsia" w:ascii="宋体" w:hAnsi="宋体" w:eastAsia="宋体" w:cs="宋体"/>
          <w:b w:val="0"/>
          <w:i w:val="0"/>
          <w:strike w:val="0"/>
          <w:color w:val="auto"/>
          <w:kern w:val="2"/>
          <w:sz w:val="21"/>
          <w:szCs w:val="18"/>
          <w:highlight w:val="none"/>
          <w:u w:val="none"/>
          <w:lang w:val="en-US" w:eastAsia="zh-CN" w:bidi="ar-SA"/>
        </w:rPr>
        <w:t>注：成交单位应自行承担选派专业人员的住宿、就餐和交通等费用。报价应充分考虑该项目在实施过程中所需要各类费用，结算时各类报价均不做调整。</w:t>
      </w:r>
    </w:p>
    <w:p w14:paraId="625E3C4A">
      <w:pPr>
        <w:widowControl w:val="0"/>
        <w:spacing w:after="120" w:line="360" w:lineRule="auto"/>
        <w:jc w:val="both"/>
        <w:rPr>
          <w:rFonts w:hint="eastAsia" w:ascii="宋体" w:hAnsi="宋体" w:eastAsia="宋体" w:cs="宋体"/>
          <w:b/>
          <w:i w:val="0"/>
          <w:strike w:val="0"/>
          <w:color w:val="auto"/>
          <w:kern w:val="2"/>
          <w:sz w:val="24"/>
          <w:szCs w:val="21"/>
          <w:highlight w:val="none"/>
          <w:u w:val="none"/>
          <w:lang w:val="en-US" w:eastAsia="zh-CN" w:bidi="ar-SA"/>
        </w:rPr>
      </w:pPr>
      <w:r>
        <w:rPr>
          <w:rFonts w:hint="eastAsia" w:ascii="宋体" w:hAnsi="宋体" w:eastAsia="宋体" w:cs="宋体"/>
          <w:b/>
          <w:i w:val="0"/>
          <w:strike w:val="0"/>
          <w:color w:val="auto"/>
          <w:kern w:val="2"/>
          <w:sz w:val="24"/>
          <w:szCs w:val="21"/>
          <w:highlight w:val="none"/>
          <w:u w:val="none"/>
          <w:lang w:val="en-US" w:eastAsia="zh-CN" w:bidi="ar-SA"/>
        </w:rPr>
        <w:t>四、其他要求</w:t>
      </w:r>
    </w:p>
    <w:p w14:paraId="590D6EB4">
      <w:pPr>
        <w:widowControl w:val="0"/>
        <w:spacing w:after="120" w:line="360" w:lineRule="auto"/>
        <w:ind w:left="0" w:leftChars="0" w:firstLine="480" w:firstLineChars="200"/>
        <w:jc w:val="both"/>
        <w:rPr>
          <w:rFonts w:ascii="宋体" w:hAnsi="宋体" w:eastAsia="宋体"/>
          <w:color w:val="auto"/>
          <w:sz w:val="24"/>
          <w:highlight w:val="none"/>
        </w:rPr>
      </w:pPr>
      <w:r>
        <w:rPr>
          <w:rFonts w:hint="eastAsia" w:ascii="宋体" w:hAnsi="宋体" w:eastAsia="宋体" w:cs="宋体"/>
          <w:color w:val="auto"/>
          <w:sz w:val="24"/>
          <w:highlight w:val="none"/>
          <w:lang w:eastAsia="zh-CN"/>
        </w:rPr>
        <w:t>无。</w:t>
      </w:r>
      <w:r>
        <w:rPr>
          <w:rFonts w:hint="eastAsia" w:ascii="宋体" w:hAnsi="宋体" w:eastAsia="宋体" w:cs="宋体"/>
          <w:color w:val="auto"/>
          <w:sz w:val="24"/>
          <w:highlight w:val="none"/>
        </w:rPr>
        <w:br w:type="page"/>
      </w:r>
    </w:p>
    <w:p w14:paraId="03EEE5CF">
      <w:pPr>
        <w:wordWrap w:val="0"/>
        <w:spacing w:line="360" w:lineRule="auto"/>
        <w:jc w:val="center"/>
        <w:outlineLvl w:val="1"/>
        <w:rPr>
          <w:rFonts w:ascii="华文中宋" w:hAnsi="华文中宋" w:eastAsia="华文中宋" w:cs="Times New Roman"/>
          <w:b/>
          <w:bCs/>
          <w:color w:val="auto"/>
          <w:kern w:val="44"/>
          <w:sz w:val="44"/>
          <w:szCs w:val="44"/>
          <w:highlight w:val="none"/>
        </w:rPr>
      </w:pPr>
      <w:bookmarkStart w:id="15" w:name="_Toc3206"/>
      <w:bookmarkStart w:id="16" w:name="_Toc18055"/>
      <w:r>
        <w:rPr>
          <w:rFonts w:hint="eastAsia" w:ascii="华文中宋" w:hAnsi="华文中宋" w:eastAsia="华文中宋" w:cs="Times New Roman"/>
          <w:b/>
          <w:bCs/>
          <w:color w:val="auto"/>
          <w:kern w:val="44"/>
          <w:sz w:val="44"/>
          <w:szCs w:val="44"/>
          <w:highlight w:val="none"/>
        </w:rPr>
        <w:t>第四章  评审方法和标准</w:t>
      </w:r>
      <w:bookmarkEnd w:id="15"/>
      <w:bookmarkEnd w:id="16"/>
    </w:p>
    <w:p w14:paraId="319A88D0">
      <w:pPr>
        <w:spacing w:line="360" w:lineRule="auto"/>
        <w:ind w:firstLine="437"/>
        <w:jc w:val="left"/>
        <w:outlineLvl w:val="2"/>
        <w:rPr>
          <w:rFonts w:ascii="宋体" w:hAnsi="宋体" w:eastAsia="宋体"/>
          <w:b/>
          <w:color w:val="auto"/>
          <w:sz w:val="24"/>
          <w:highlight w:val="none"/>
        </w:rPr>
      </w:pPr>
      <w:r>
        <w:rPr>
          <w:rFonts w:hint="eastAsia" w:ascii="宋体" w:hAnsi="宋体" w:eastAsia="宋体"/>
          <w:b/>
          <w:color w:val="auto"/>
          <w:sz w:val="24"/>
          <w:highlight w:val="none"/>
        </w:rPr>
        <w:t>一、总则</w:t>
      </w:r>
    </w:p>
    <w:p w14:paraId="6C168B84">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本项目将按照磋商文件第二章 供应商须知的相关要求</w:t>
      </w:r>
      <w:r>
        <w:rPr>
          <w:rFonts w:ascii="宋体" w:hAnsi="宋体" w:eastAsia="宋体"/>
          <w:color w:val="auto"/>
          <w:sz w:val="24"/>
          <w:highlight w:val="none"/>
        </w:rPr>
        <w:t>及本章的规定</w:t>
      </w:r>
      <w:r>
        <w:rPr>
          <w:rFonts w:hint="eastAsia" w:ascii="宋体" w:hAnsi="宋体" w:eastAsia="宋体"/>
          <w:color w:val="auto"/>
          <w:sz w:val="24"/>
          <w:highlight w:val="none"/>
        </w:rPr>
        <w:t>评审</w:t>
      </w:r>
      <w:r>
        <w:rPr>
          <w:rFonts w:ascii="宋体" w:hAnsi="宋体" w:eastAsia="宋体"/>
          <w:color w:val="auto"/>
          <w:sz w:val="24"/>
          <w:highlight w:val="none"/>
        </w:rPr>
        <w:t>。</w:t>
      </w:r>
    </w:p>
    <w:p w14:paraId="203C883C">
      <w:pPr>
        <w:spacing w:line="360" w:lineRule="auto"/>
        <w:ind w:firstLine="437"/>
        <w:jc w:val="left"/>
        <w:outlineLvl w:val="2"/>
        <w:rPr>
          <w:rFonts w:ascii="宋体" w:hAnsi="宋体" w:eastAsia="宋体"/>
          <w:b/>
          <w:color w:val="auto"/>
          <w:sz w:val="24"/>
          <w:highlight w:val="none"/>
        </w:rPr>
      </w:pPr>
      <w:r>
        <w:rPr>
          <w:rFonts w:hint="eastAsia" w:ascii="宋体" w:hAnsi="宋体" w:eastAsia="宋体"/>
          <w:b/>
          <w:color w:val="auto"/>
          <w:sz w:val="24"/>
          <w:highlight w:val="none"/>
        </w:rPr>
        <w:t>二、评审方法</w:t>
      </w:r>
    </w:p>
    <w:p w14:paraId="44F3C9F4">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2.1初审</w:t>
      </w:r>
    </w:p>
    <w:p w14:paraId="69E58A43">
      <w:pPr>
        <w:spacing w:line="360" w:lineRule="auto"/>
        <w:ind w:firstLine="435"/>
        <w:jc w:val="left"/>
        <w:rPr>
          <w:rFonts w:ascii="宋体" w:hAnsi="宋体" w:eastAsia="宋体"/>
          <w:i/>
          <w:iCs/>
          <w:color w:val="auto"/>
          <w:sz w:val="24"/>
          <w:highlight w:val="none"/>
        </w:rPr>
      </w:pPr>
      <w:r>
        <w:rPr>
          <w:rFonts w:hint="eastAsia" w:ascii="宋体" w:hAnsi="宋体" w:eastAsia="宋体"/>
          <w:color w:val="auto"/>
          <w:sz w:val="24"/>
          <w:highlight w:val="none"/>
        </w:rPr>
        <w:t>磋商小组对供应商的响应文件进行初审，以确定其是否满足磋商文件的实质性要求。初审表如下：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578B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522BBC2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初审表</w:t>
            </w:r>
          </w:p>
        </w:tc>
      </w:tr>
      <w:tr w14:paraId="0E5B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D045A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653" w:type="dxa"/>
            <w:tcBorders>
              <w:bottom w:val="single" w:color="auto" w:sz="4" w:space="0"/>
            </w:tcBorders>
            <w:vAlign w:val="center"/>
          </w:tcPr>
          <w:p w14:paraId="5DD45C07">
            <w:pPr>
              <w:pStyle w:val="34"/>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评审指标</w:t>
            </w:r>
          </w:p>
        </w:tc>
        <w:tc>
          <w:tcPr>
            <w:tcW w:w="2260" w:type="dxa"/>
            <w:tcBorders>
              <w:bottom w:val="single" w:color="auto" w:sz="4" w:space="0"/>
            </w:tcBorders>
            <w:vAlign w:val="center"/>
          </w:tcPr>
          <w:p w14:paraId="5E4E1A0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评审标准</w:t>
            </w:r>
          </w:p>
        </w:tc>
        <w:tc>
          <w:tcPr>
            <w:tcW w:w="3867" w:type="dxa"/>
            <w:tcBorders>
              <w:bottom w:val="single" w:color="auto" w:sz="4" w:space="0"/>
            </w:tcBorders>
            <w:vAlign w:val="center"/>
          </w:tcPr>
          <w:p w14:paraId="535E958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格式及材料要求</w:t>
            </w:r>
          </w:p>
        </w:tc>
      </w:tr>
      <w:tr w14:paraId="0BEF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715" w:type="dxa"/>
            <w:vAlign w:val="center"/>
          </w:tcPr>
          <w:p w14:paraId="5A8E927E">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vAlign w:val="center"/>
          </w:tcPr>
          <w:p w14:paraId="6544C30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营业执照</w:t>
            </w:r>
          </w:p>
        </w:tc>
        <w:tc>
          <w:tcPr>
            <w:tcW w:w="2260" w:type="dxa"/>
            <w:tcBorders>
              <w:bottom w:val="single" w:color="auto" w:sz="4" w:space="0"/>
            </w:tcBorders>
            <w:vAlign w:val="center"/>
          </w:tcPr>
          <w:p w14:paraId="67C4D253">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合法有效</w:t>
            </w:r>
          </w:p>
        </w:tc>
        <w:tc>
          <w:tcPr>
            <w:tcW w:w="3867" w:type="dxa"/>
            <w:vAlign w:val="center"/>
          </w:tcPr>
          <w:p w14:paraId="27271E42">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提供有效的供应商营业执照（或事业单位法人登记证书）的复印件或影印件，应完整的体现出营业执照（或事业单位法人登记证书）全部内容。联合体参加磋商的联合体各方均须提供。</w:t>
            </w:r>
          </w:p>
        </w:tc>
      </w:tr>
      <w:tr w14:paraId="6474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715" w:type="dxa"/>
            <w:tcBorders>
              <w:bottom w:val="single" w:color="auto" w:sz="4" w:space="0"/>
            </w:tcBorders>
            <w:vAlign w:val="center"/>
          </w:tcPr>
          <w:p w14:paraId="38D91B58">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1EA35371">
            <w:pPr>
              <w:spacing w:after="50" w:line="360" w:lineRule="auto"/>
              <w:ind w:right="-10"/>
              <w:jc w:val="center"/>
              <w:rPr>
                <w:rFonts w:ascii="宋体" w:hAnsi="宋体" w:eastAsia="宋体"/>
                <w:color w:val="auto"/>
                <w:sz w:val="24"/>
                <w:szCs w:val="18"/>
                <w:highlight w:val="none"/>
              </w:rPr>
            </w:pPr>
            <w:r>
              <w:rPr>
                <w:rFonts w:hint="eastAsia" w:ascii="宋体" w:hAnsi="宋体" w:eastAsia="宋体"/>
                <w:color w:val="auto"/>
                <w:sz w:val="24"/>
                <w:szCs w:val="28"/>
                <w:highlight w:val="none"/>
              </w:rPr>
              <w:t>无重大违法记录声明函、无不良信用记录声明函</w:t>
            </w:r>
          </w:p>
        </w:tc>
        <w:tc>
          <w:tcPr>
            <w:tcW w:w="2260" w:type="dxa"/>
            <w:tcBorders>
              <w:bottom w:val="single" w:color="auto" w:sz="4" w:space="0"/>
            </w:tcBorders>
            <w:vAlign w:val="center"/>
          </w:tcPr>
          <w:p w14:paraId="146365EB">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09CDDA81">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详见第六章响应文件格式四</w:t>
            </w:r>
          </w:p>
        </w:tc>
      </w:tr>
      <w:tr w14:paraId="353C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715" w:type="dxa"/>
            <w:tcBorders>
              <w:bottom w:val="single" w:color="auto" w:sz="4" w:space="0"/>
            </w:tcBorders>
            <w:vAlign w:val="center"/>
          </w:tcPr>
          <w:p w14:paraId="60ABBCA4">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50193137">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磋商响应函</w:t>
            </w:r>
          </w:p>
        </w:tc>
        <w:tc>
          <w:tcPr>
            <w:tcW w:w="2260" w:type="dxa"/>
            <w:tcBorders>
              <w:bottom w:val="single" w:color="auto" w:sz="4" w:space="0"/>
            </w:tcBorders>
            <w:vAlign w:val="center"/>
          </w:tcPr>
          <w:p w14:paraId="5D2300A9">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1F0969D3">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详见第六章响应文件格式三</w:t>
            </w:r>
          </w:p>
        </w:tc>
      </w:tr>
      <w:tr w14:paraId="3ACB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15" w:type="dxa"/>
            <w:tcBorders>
              <w:bottom w:val="single" w:color="auto" w:sz="4" w:space="0"/>
            </w:tcBorders>
            <w:vAlign w:val="center"/>
          </w:tcPr>
          <w:p w14:paraId="596409B6">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0AF73407">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磋商授权书</w:t>
            </w:r>
          </w:p>
        </w:tc>
        <w:tc>
          <w:tcPr>
            <w:tcW w:w="2260" w:type="dxa"/>
            <w:tcBorders>
              <w:bottom w:val="single" w:color="auto" w:sz="4" w:space="0"/>
            </w:tcBorders>
            <w:vAlign w:val="center"/>
          </w:tcPr>
          <w:p w14:paraId="18314BCB">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467C3890">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法定代表人参加磋商的无需此件，提供身份证明即可。详见第六章响应文件格式五</w:t>
            </w:r>
          </w:p>
        </w:tc>
      </w:tr>
      <w:tr w14:paraId="7604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2F3B6FA">
            <w:pPr>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vAlign w:val="center"/>
          </w:tcPr>
          <w:p w14:paraId="7348F800">
            <w:pPr>
              <w:spacing w:after="50" w:line="360" w:lineRule="auto"/>
              <w:ind w:right="-10"/>
              <w:jc w:val="center"/>
              <w:rPr>
                <w:rFonts w:ascii="Arial" w:hAnsi="Arial" w:eastAsia="宋体" w:cs="Arial"/>
                <w:color w:val="auto"/>
                <w:sz w:val="24"/>
                <w:highlight w:val="none"/>
              </w:rPr>
            </w:pPr>
            <w:r>
              <w:rPr>
                <w:rFonts w:hint="eastAsia" w:ascii="宋体" w:hAnsi="宋体" w:eastAsia="宋体"/>
                <w:color w:val="auto"/>
                <w:sz w:val="24"/>
                <w:szCs w:val="28"/>
                <w:highlight w:val="none"/>
              </w:rPr>
              <w:t>磋商报价</w:t>
            </w:r>
          </w:p>
        </w:tc>
        <w:tc>
          <w:tcPr>
            <w:tcW w:w="2260" w:type="dxa"/>
            <w:vAlign w:val="center"/>
          </w:tcPr>
          <w:p w14:paraId="5655B837">
            <w:pPr>
              <w:spacing w:after="50" w:line="360" w:lineRule="auto"/>
              <w:ind w:right="-10"/>
              <w:jc w:val="center"/>
              <w:rPr>
                <w:rFonts w:ascii="Arial" w:hAnsi="Arial" w:eastAsia="宋体" w:cs="Arial"/>
                <w:color w:val="auto"/>
                <w:sz w:val="24"/>
                <w:highlight w:val="none"/>
              </w:rPr>
            </w:pPr>
            <w:r>
              <w:rPr>
                <w:rFonts w:hint="eastAsia" w:ascii="宋体" w:hAnsi="宋体" w:eastAsia="宋体"/>
                <w:color w:val="auto"/>
                <w:sz w:val="24"/>
                <w:szCs w:val="28"/>
                <w:highlight w:val="none"/>
              </w:rPr>
              <w:t>符合磋商</w:t>
            </w:r>
            <w:r>
              <w:rPr>
                <w:rFonts w:hint="eastAsia" w:ascii="宋体" w:hAnsi="宋体" w:eastAsia="宋体"/>
                <w:color w:val="auto"/>
                <w:sz w:val="24"/>
                <w:highlight w:val="none"/>
              </w:rPr>
              <w:t>文件供应商须知正文第1</w:t>
            </w:r>
            <w:r>
              <w:rPr>
                <w:rFonts w:ascii="宋体" w:hAnsi="宋体" w:eastAsia="宋体"/>
                <w:color w:val="auto"/>
                <w:sz w:val="24"/>
                <w:highlight w:val="none"/>
              </w:rPr>
              <w:t>2</w:t>
            </w:r>
            <w:r>
              <w:rPr>
                <w:rFonts w:hint="eastAsia" w:ascii="宋体" w:hAnsi="宋体" w:eastAsia="宋体"/>
                <w:color w:val="auto"/>
                <w:sz w:val="24"/>
                <w:highlight w:val="none"/>
              </w:rPr>
              <w:t>条要求</w:t>
            </w:r>
          </w:p>
        </w:tc>
        <w:tc>
          <w:tcPr>
            <w:tcW w:w="3867" w:type="dxa"/>
            <w:vAlign w:val="center"/>
          </w:tcPr>
          <w:p w14:paraId="60395E11">
            <w:pPr>
              <w:adjustRightInd w:val="0"/>
              <w:snapToGrid w:val="0"/>
              <w:spacing w:line="360" w:lineRule="auto"/>
              <w:ind w:right="-10"/>
              <w:jc w:val="left"/>
              <w:rPr>
                <w:rFonts w:ascii="Arial" w:hAnsi="Arial" w:eastAsia="宋体" w:cs="Arial"/>
                <w:color w:val="auto"/>
                <w:sz w:val="24"/>
                <w:highlight w:val="none"/>
              </w:rPr>
            </w:pPr>
            <w:r>
              <w:rPr>
                <w:rFonts w:hint="eastAsia" w:ascii="宋体" w:hAnsi="宋体" w:eastAsia="宋体"/>
                <w:color w:val="auto"/>
                <w:sz w:val="24"/>
                <w:highlight w:val="none"/>
              </w:rPr>
              <w:t>详见第六章响应文件格式一</w:t>
            </w:r>
          </w:p>
        </w:tc>
      </w:tr>
      <w:tr w14:paraId="1EBF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47CDB85">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3A98108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2260" w:type="dxa"/>
            <w:vAlign w:val="center"/>
          </w:tcPr>
          <w:p w14:paraId="7C677A50">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符合磋商文件采购需求中</w:t>
            </w:r>
            <w:r>
              <w:rPr>
                <w:rFonts w:hint="eastAsia" w:ascii="宋体" w:hAnsi="宋体" w:eastAsia="宋体"/>
                <w:color w:val="auto"/>
                <w:sz w:val="24"/>
                <w:szCs w:val="28"/>
                <w:highlight w:val="none"/>
                <w:lang w:eastAsia="zh-CN"/>
              </w:rPr>
              <w:t>收费模式</w:t>
            </w:r>
            <w:r>
              <w:rPr>
                <w:rFonts w:hint="eastAsia" w:ascii="宋体" w:hAnsi="宋体" w:eastAsia="宋体"/>
                <w:color w:val="auto"/>
                <w:sz w:val="24"/>
                <w:szCs w:val="28"/>
                <w:highlight w:val="none"/>
              </w:rPr>
              <w:t>、服务期限、服务地点的要求</w:t>
            </w:r>
          </w:p>
        </w:tc>
        <w:tc>
          <w:tcPr>
            <w:tcW w:w="3867" w:type="dxa"/>
            <w:vAlign w:val="center"/>
          </w:tcPr>
          <w:p w14:paraId="3409A283">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详见第六章响应文件格式七（7.1商务响应表）</w:t>
            </w:r>
          </w:p>
        </w:tc>
      </w:tr>
      <w:tr w14:paraId="63B2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BCFFBB9">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6DF79C76">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其他实质性要求</w:t>
            </w:r>
          </w:p>
        </w:tc>
        <w:tc>
          <w:tcPr>
            <w:tcW w:w="2260" w:type="dxa"/>
            <w:vAlign w:val="center"/>
          </w:tcPr>
          <w:p w14:paraId="69736D9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符合法律、行政法规规定的其他条件或磋商文件列明的其他实质性要求</w:t>
            </w:r>
          </w:p>
        </w:tc>
        <w:tc>
          <w:tcPr>
            <w:tcW w:w="3867" w:type="dxa"/>
            <w:vAlign w:val="center"/>
          </w:tcPr>
          <w:p w14:paraId="737D4536">
            <w:pPr>
              <w:adjustRightInd w:val="0"/>
              <w:snapToGrid w:val="0"/>
              <w:spacing w:line="360" w:lineRule="auto"/>
              <w:ind w:right="-10"/>
              <w:jc w:val="left"/>
              <w:rPr>
                <w:rFonts w:ascii="宋体" w:hAnsi="宋体" w:eastAsia="宋体"/>
                <w:color w:val="auto"/>
                <w:sz w:val="24"/>
                <w:highlight w:val="none"/>
              </w:rPr>
            </w:pPr>
          </w:p>
        </w:tc>
      </w:tr>
    </w:tbl>
    <w:p w14:paraId="2A2D1389">
      <w:pPr>
        <w:spacing w:line="360" w:lineRule="auto"/>
        <w:ind w:firstLine="435"/>
        <w:jc w:val="left"/>
        <w:rPr>
          <w:rFonts w:ascii="宋体" w:hAnsi="宋体" w:eastAsia="宋体"/>
          <w:color w:val="auto"/>
          <w:sz w:val="24"/>
          <w:highlight w:val="none"/>
        </w:rPr>
      </w:pPr>
      <w:r>
        <w:rPr>
          <w:rFonts w:hint="eastAsia" w:ascii="宋体" w:hAnsi="宋体" w:eastAsia="宋体"/>
          <w:b/>
          <w:bCs/>
          <w:color w:val="auto"/>
          <w:sz w:val="24"/>
          <w:highlight w:val="none"/>
        </w:rPr>
        <w:t>初审指标通过标准：</w:t>
      </w:r>
      <w:r>
        <w:rPr>
          <w:rFonts w:hint="eastAsia" w:ascii="宋体" w:hAnsi="宋体" w:eastAsia="宋体"/>
          <w:color w:val="auto"/>
          <w:sz w:val="24"/>
          <w:highlight w:val="none"/>
        </w:rPr>
        <w:t>供应商必须通过初审表中的全部评审指标。</w:t>
      </w:r>
    </w:p>
    <w:p w14:paraId="22BE8E53">
      <w:pPr>
        <w:spacing w:line="360" w:lineRule="auto"/>
        <w:ind w:firstLine="435"/>
        <w:jc w:val="left"/>
        <w:rPr>
          <w:rFonts w:ascii="宋体" w:hAnsi="宋体" w:eastAsia="宋体"/>
          <w:b/>
          <w:color w:val="auto"/>
          <w:sz w:val="24"/>
          <w:highlight w:val="none"/>
        </w:rPr>
      </w:pPr>
      <w:r>
        <w:rPr>
          <w:rFonts w:hint="eastAsia" w:ascii="宋体" w:hAnsi="宋体" w:eastAsia="宋体"/>
          <w:b/>
          <w:color w:val="auto"/>
          <w:sz w:val="24"/>
          <w:highlight w:val="none"/>
        </w:rPr>
        <w:t>2.2综合评分</w:t>
      </w:r>
    </w:p>
    <w:p w14:paraId="70F63D29">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磋商小组按照下表对进入综合评分的所有供应商的响应文件进行综合评分。</w:t>
      </w:r>
    </w:p>
    <w:p w14:paraId="15272267">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0</w:t>
      </w:r>
      <w:r>
        <w:rPr>
          <w:rFonts w:ascii="宋体" w:hAnsi="宋体" w:eastAsia="宋体"/>
          <w:color w:val="auto"/>
          <w:sz w:val="24"/>
          <w:highlight w:val="none"/>
          <w:u w:val="single"/>
        </w:rPr>
        <w:t xml:space="preserve"> </w:t>
      </w:r>
      <w:r>
        <w:rPr>
          <w:rFonts w:ascii="宋体" w:hAnsi="宋体" w:eastAsia="宋体"/>
          <w:color w:val="auto"/>
          <w:sz w:val="24"/>
          <w:highlight w:val="none"/>
        </w:rPr>
        <w:t>%，价格分值占总分值的权重为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3</w:t>
      </w:r>
      <w:r>
        <w:rPr>
          <w:rFonts w:hint="eastAsia" w:ascii="宋体" w:hAnsi="宋体" w:eastAsia="宋体"/>
          <w:color w:val="auto"/>
          <w:sz w:val="24"/>
          <w:highlight w:val="none"/>
          <w:u w:val="single"/>
        </w:rPr>
        <w:t>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4"/>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436"/>
        <w:gridCol w:w="5047"/>
        <w:gridCol w:w="1089"/>
      </w:tblGrid>
      <w:tr w14:paraId="6308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14:paraId="0395CC06">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类别</w:t>
            </w:r>
          </w:p>
        </w:tc>
        <w:tc>
          <w:tcPr>
            <w:tcW w:w="1436" w:type="dxa"/>
            <w:tcBorders>
              <w:top w:val="single" w:color="auto" w:sz="4" w:space="0"/>
              <w:left w:val="single" w:color="auto" w:sz="4" w:space="0"/>
              <w:bottom w:val="single" w:color="auto" w:sz="4" w:space="0"/>
              <w:right w:val="single" w:color="auto" w:sz="4" w:space="0"/>
            </w:tcBorders>
            <w:vAlign w:val="center"/>
          </w:tcPr>
          <w:p w14:paraId="7A7AE835">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评分内容</w:t>
            </w:r>
          </w:p>
        </w:tc>
        <w:tc>
          <w:tcPr>
            <w:tcW w:w="5047" w:type="dxa"/>
            <w:tcBorders>
              <w:top w:val="single" w:color="auto" w:sz="4" w:space="0"/>
              <w:left w:val="single" w:color="auto" w:sz="4" w:space="0"/>
              <w:bottom w:val="single" w:color="auto" w:sz="4" w:space="0"/>
              <w:right w:val="single" w:color="auto" w:sz="4" w:space="0"/>
            </w:tcBorders>
            <w:vAlign w:val="center"/>
          </w:tcPr>
          <w:p w14:paraId="6432F5AE">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评分标准</w:t>
            </w:r>
          </w:p>
        </w:tc>
        <w:tc>
          <w:tcPr>
            <w:tcW w:w="1089" w:type="dxa"/>
            <w:tcBorders>
              <w:top w:val="single" w:color="auto" w:sz="4" w:space="0"/>
              <w:left w:val="single" w:color="auto" w:sz="4" w:space="0"/>
              <w:bottom w:val="single" w:color="auto" w:sz="4" w:space="0"/>
              <w:right w:val="single" w:color="auto" w:sz="4" w:space="0"/>
            </w:tcBorders>
            <w:vAlign w:val="center"/>
          </w:tcPr>
          <w:p w14:paraId="07CF2ACB">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分值范围</w:t>
            </w:r>
          </w:p>
        </w:tc>
      </w:tr>
      <w:tr w14:paraId="57BE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tcBorders>
              <w:top w:val="single" w:color="auto" w:sz="4" w:space="0"/>
              <w:left w:val="single" w:color="auto" w:sz="4" w:space="0"/>
              <w:right w:val="single" w:color="auto" w:sz="4" w:space="0"/>
            </w:tcBorders>
            <w:vAlign w:val="center"/>
          </w:tcPr>
          <w:p w14:paraId="7265B090">
            <w:pPr>
              <w:keepNext w:val="0"/>
              <w:keepLines w:val="0"/>
              <w:pageBreakBefore w:val="0"/>
              <w:widowControl w:val="0"/>
              <w:kinsoku/>
              <w:wordWrap/>
              <w:overflowPunct/>
              <w:topLinePunct w:val="0"/>
              <w:bidi w:val="0"/>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538E6CC7">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tc>
        <w:tc>
          <w:tcPr>
            <w:tcW w:w="1436" w:type="dxa"/>
            <w:tcBorders>
              <w:top w:val="single" w:color="auto" w:sz="4" w:space="0"/>
              <w:left w:val="single" w:color="auto" w:sz="4" w:space="0"/>
              <w:bottom w:val="single" w:color="auto" w:sz="4" w:space="0"/>
              <w:right w:val="single" w:color="auto" w:sz="4" w:space="0"/>
            </w:tcBorders>
            <w:vAlign w:val="center"/>
          </w:tcPr>
          <w:p w14:paraId="7FDFA7BB">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tc>
        <w:tc>
          <w:tcPr>
            <w:tcW w:w="5047" w:type="dxa"/>
            <w:tcBorders>
              <w:top w:val="single" w:color="auto" w:sz="4" w:space="0"/>
              <w:left w:val="single" w:color="auto" w:sz="4" w:space="0"/>
              <w:bottom w:val="single" w:color="auto" w:sz="4" w:space="0"/>
              <w:right w:val="single" w:color="auto" w:sz="4" w:space="0"/>
            </w:tcBorders>
            <w:vAlign w:val="center"/>
          </w:tcPr>
          <w:p w14:paraId="27B1B3C8">
            <w:pPr>
              <w:keepNext w:val="0"/>
              <w:keepLines w:val="0"/>
              <w:pageBreakBefore w:val="0"/>
              <w:widowControl w:val="0"/>
              <w:kinsoku/>
              <w:wordWrap/>
              <w:overflowPunct/>
              <w:topLinePunct w:val="0"/>
              <w:bidi w:val="0"/>
              <w:snapToGrid/>
              <w:spacing w:line="360" w:lineRule="auto"/>
              <w:textAlignment w:val="auto"/>
              <w:outlineLvl w:val="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猎</w:t>
            </w:r>
            <w:r>
              <w:rPr>
                <w:rFonts w:hint="eastAsia" w:ascii="宋体" w:hAnsi="宋体" w:eastAsia="宋体" w:cs="宋体"/>
                <w:b/>
                <w:bCs/>
                <w:color w:val="auto"/>
                <w:sz w:val="24"/>
                <w:highlight w:val="none"/>
              </w:rPr>
              <w:t>聘渠道</w:t>
            </w:r>
            <w:r>
              <w:rPr>
                <w:rFonts w:hint="eastAsia" w:ascii="宋体" w:hAnsi="宋体" w:eastAsia="宋体" w:cs="宋体"/>
                <w:b/>
                <w:bCs/>
                <w:color w:val="auto"/>
                <w:sz w:val="24"/>
                <w:highlight w:val="none"/>
                <w:lang w:eastAsia="zh-CN"/>
              </w:rPr>
              <w:t>体系</w:t>
            </w:r>
          </w:p>
          <w:p w14:paraId="4D5C89D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供应商提供的方案中</w:t>
            </w:r>
            <w:r>
              <w:rPr>
                <w:rFonts w:hint="eastAsia" w:ascii="宋体" w:hAnsi="宋体" w:eastAsia="宋体" w:cs="宋体"/>
                <w:bCs/>
                <w:color w:val="auto"/>
                <w:sz w:val="24"/>
                <w:szCs w:val="24"/>
                <w:highlight w:val="none"/>
              </w:rPr>
              <w:t>，包括但不限于</w:t>
            </w:r>
            <w:r>
              <w:rPr>
                <w:rFonts w:hint="eastAsia" w:ascii="宋体" w:hAnsi="宋体" w:eastAsia="宋体" w:cs="宋体"/>
                <w:bCs/>
                <w:color w:val="auto"/>
                <w:sz w:val="24"/>
                <w:szCs w:val="24"/>
                <w:highlight w:val="none"/>
                <w:lang w:eastAsia="zh-CN"/>
              </w:rPr>
              <w:t>猎聘</w:t>
            </w:r>
            <w:r>
              <w:rPr>
                <w:rFonts w:hint="eastAsia" w:ascii="宋体" w:hAnsi="宋体" w:eastAsia="宋体" w:cs="宋体"/>
                <w:bCs/>
                <w:color w:val="auto"/>
                <w:sz w:val="24"/>
                <w:szCs w:val="24"/>
                <w:highlight w:val="none"/>
              </w:rPr>
              <w:t>渠道、</w:t>
            </w:r>
            <w:r>
              <w:rPr>
                <w:rFonts w:ascii="Segoe UI" w:hAnsi="Segoe UI" w:eastAsia="Segoe UI" w:cs="Segoe UI"/>
                <w:b/>
                <w:bCs/>
                <w:i w:val="0"/>
                <w:iCs w:val="0"/>
                <w:caps w:val="0"/>
                <w:color w:val="auto"/>
                <w:spacing w:val="0"/>
                <w:sz w:val="24"/>
                <w:szCs w:val="24"/>
                <w:highlight w:val="none"/>
                <w:shd w:val="clear" w:fill="FFFFFF"/>
              </w:rPr>
              <w:t>人才储备库</w:t>
            </w:r>
            <w:r>
              <w:rPr>
                <w:rFonts w:hint="eastAsia" w:ascii="宋体" w:hAnsi="宋体" w:eastAsia="宋体" w:cs="宋体"/>
                <w:bCs/>
                <w:color w:val="auto"/>
                <w:sz w:val="24"/>
                <w:szCs w:val="24"/>
                <w:highlight w:val="none"/>
              </w:rPr>
              <w:t>、</w:t>
            </w:r>
            <w:r>
              <w:rPr>
                <w:rFonts w:ascii="Segoe UI" w:hAnsi="Segoe UI" w:eastAsia="Segoe UI" w:cs="Segoe UI"/>
                <w:b/>
                <w:bCs/>
                <w:i w:val="0"/>
                <w:iCs w:val="0"/>
                <w:caps w:val="0"/>
                <w:color w:val="auto"/>
                <w:spacing w:val="0"/>
                <w:sz w:val="24"/>
                <w:szCs w:val="24"/>
                <w:highlight w:val="none"/>
                <w:shd w:val="clear" w:fill="FFFFFF"/>
              </w:rPr>
              <w:t>定向寻访与内部推荐</w:t>
            </w:r>
            <w:r>
              <w:rPr>
                <w:rFonts w:hint="eastAsia" w:ascii="宋体" w:hAnsi="宋体" w:eastAsia="宋体" w:cs="宋体"/>
                <w:bCs/>
                <w:color w:val="auto"/>
                <w:sz w:val="24"/>
                <w:szCs w:val="24"/>
                <w:highlight w:val="none"/>
              </w:rPr>
              <w:t>等方面，由评标委员会进行综合评分：</w:t>
            </w:r>
          </w:p>
          <w:p w14:paraId="1B7FC6D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（1）针对本项目</w:t>
            </w:r>
            <w:r>
              <w:rPr>
                <w:rFonts w:hint="eastAsia" w:ascii="宋体" w:hAnsi="宋体" w:eastAsia="宋体" w:cs="宋体"/>
                <w:bCs/>
                <w:color w:val="auto"/>
                <w:sz w:val="24"/>
                <w:szCs w:val="24"/>
                <w:highlight w:val="none"/>
                <w:lang w:eastAsia="zh-CN"/>
              </w:rPr>
              <w:t>的方案内容的全面性、针对性进行综合评比，</w:t>
            </w:r>
            <w:r>
              <w:rPr>
                <w:rFonts w:hint="eastAsia" w:ascii="宋体" w:hAnsi="宋体" w:eastAsia="宋体" w:cs="宋体"/>
                <w:bCs/>
                <w:color w:val="auto"/>
                <w:sz w:val="24"/>
                <w:szCs w:val="24"/>
                <w:highlight w:val="none"/>
              </w:rPr>
              <w:t>与采购需求结合紧密，阐述明确、清晰，得1</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p>
          <w:p w14:paraId="36158F53">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（2）针对本项目</w:t>
            </w:r>
            <w:r>
              <w:rPr>
                <w:rFonts w:hint="eastAsia" w:ascii="宋体" w:hAnsi="宋体" w:eastAsia="宋体" w:cs="宋体"/>
                <w:bCs/>
                <w:color w:val="auto"/>
                <w:sz w:val="24"/>
                <w:szCs w:val="24"/>
                <w:highlight w:val="none"/>
                <w:lang w:eastAsia="zh-CN"/>
              </w:rPr>
              <w:t>方案</w:t>
            </w:r>
            <w:r>
              <w:rPr>
                <w:rFonts w:hint="eastAsia" w:ascii="宋体" w:hAnsi="宋体" w:eastAsia="宋体" w:cs="宋体"/>
                <w:bCs/>
                <w:color w:val="auto"/>
                <w:sz w:val="24"/>
                <w:szCs w:val="24"/>
                <w:highlight w:val="none"/>
              </w:rPr>
              <w:t>较充分，满足采购需求的基本要求，得</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分；</w:t>
            </w:r>
          </w:p>
          <w:p w14:paraId="384787C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（3）针对本项目</w:t>
            </w:r>
            <w:r>
              <w:rPr>
                <w:rFonts w:hint="eastAsia" w:ascii="宋体" w:hAnsi="宋体" w:eastAsia="宋体" w:cs="宋体"/>
                <w:bCs/>
                <w:color w:val="auto"/>
                <w:sz w:val="24"/>
                <w:szCs w:val="24"/>
                <w:highlight w:val="none"/>
                <w:lang w:eastAsia="zh-CN"/>
              </w:rPr>
              <w:t>方案</w:t>
            </w:r>
            <w:r>
              <w:rPr>
                <w:rFonts w:hint="eastAsia" w:ascii="宋体" w:hAnsi="宋体" w:eastAsia="宋体" w:cs="宋体"/>
                <w:bCs/>
                <w:color w:val="auto"/>
                <w:sz w:val="24"/>
                <w:szCs w:val="24"/>
                <w:highlight w:val="none"/>
              </w:rPr>
              <w:t>一般，阐述的较为简单，得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p w14:paraId="0728662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（4）针对本项目</w:t>
            </w:r>
            <w:r>
              <w:rPr>
                <w:rFonts w:hint="eastAsia" w:ascii="宋体" w:hAnsi="宋体" w:eastAsia="宋体" w:cs="宋体"/>
                <w:bCs/>
                <w:color w:val="auto"/>
                <w:sz w:val="24"/>
                <w:szCs w:val="24"/>
                <w:highlight w:val="none"/>
                <w:lang w:eastAsia="zh-CN"/>
              </w:rPr>
              <w:t>方案</w:t>
            </w:r>
            <w:r>
              <w:rPr>
                <w:rFonts w:hint="eastAsia" w:ascii="宋体" w:hAnsi="宋体" w:eastAsia="宋体" w:cs="宋体"/>
                <w:bCs/>
                <w:color w:val="auto"/>
                <w:sz w:val="24"/>
                <w:szCs w:val="24"/>
                <w:highlight w:val="none"/>
              </w:rPr>
              <w:t>较差或未提供的不得分。</w:t>
            </w:r>
          </w:p>
          <w:p w14:paraId="29A6B138">
            <w:pPr>
              <w:keepNext w:val="0"/>
              <w:keepLines w:val="0"/>
              <w:pageBreakBefore w:val="0"/>
              <w:widowControl w:val="0"/>
              <w:kinsoku/>
              <w:wordWrap/>
              <w:overflowPunct/>
              <w:topLinePunct w:val="0"/>
              <w:bidi w:val="0"/>
              <w:snapToGrid/>
              <w:spacing w:line="360" w:lineRule="auto"/>
              <w:textAlignment w:val="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2.质量保障方案</w:t>
            </w:r>
          </w:p>
          <w:p w14:paraId="22A949D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供应商提供的方案中</w:t>
            </w:r>
            <w:r>
              <w:rPr>
                <w:rFonts w:hint="eastAsia" w:ascii="宋体" w:hAnsi="宋体" w:eastAsia="宋体" w:cs="宋体"/>
                <w:bCs/>
                <w:color w:val="auto"/>
                <w:sz w:val="24"/>
                <w:szCs w:val="24"/>
                <w:highlight w:val="none"/>
              </w:rPr>
              <w:t>，包括但不限于</w:t>
            </w:r>
            <w:r>
              <w:rPr>
                <w:rFonts w:ascii="Segoe UI" w:hAnsi="Segoe UI" w:eastAsia="Segoe UI" w:cs="Segoe UI"/>
                <w:b/>
                <w:bCs/>
                <w:i w:val="0"/>
                <w:iCs w:val="0"/>
                <w:caps w:val="0"/>
                <w:color w:val="auto"/>
                <w:spacing w:val="0"/>
                <w:sz w:val="24"/>
                <w:szCs w:val="24"/>
                <w:highlight w:val="none"/>
                <w:shd w:val="clear" w:fill="FFFFFF"/>
              </w:rPr>
              <w:t>降低用工风险的核心举措</w:t>
            </w:r>
            <w:r>
              <w:rPr>
                <w:rFonts w:hint="eastAsia" w:ascii="宋体" w:hAnsi="宋体" w:eastAsia="宋体" w:cs="宋体"/>
                <w:bCs/>
                <w:color w:val="auto"/>
                <w:sz w:val="24"/>
                <w:szCs w:val="24"/>
                <w:highlight w:val="none"/>
              </w:rPr>
              <w:t>、</w:t>
            </w:r>
            <w:r>
              <w:rPr>
                <w:rFonts w:ascii="Segoe UI" w:hAnsi="Segoe UI" w:eastAsia="Segoe UI" w:cs="Segoe UI"/>
                <w:b/>
                <w:bCs/>
                <w:i w:val="0"/>
                <w:iCs w:val="0"/>
                <w:caps w:val="0"/>
                <w:color w:val="auto"/>
                <w:spacing w:val="0"/>
                <w:sz w:val="24"/>
                <w:szCs w:val="24"/>
                <w:highlight w:val="none"/>
                <w:shd w:val="clear" w:fill="FFFFFF"/>
              </w:rPr>
              <w:t>过程质量保障措施</w:t>
            </w:r>
            <w:r>
              <w:rPr>
                <w:rFonts w:hint="eastAsia" w:ascii="宋体" w:hAnsi="宋体" w:eastAsia="宋体" w:cs="宋体"/>
                <w:bCs/>
                <w:color w:val="auto"/>
                <w:sz w:val="24"/>
                <w:szCs w:val="24"/>
                <w:highlight w:val="none"/>
              </w:rPr>
              <w:t>等方面，由评标委员会进行综合评分：</w:t>
            </w:r>
          </w:p>
          <w:p w14:paraId="1523CA1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从</w:t>
            </w:r>
            <w:r>
              <w:rPr>
                <w:rFonts w:hint="eastAsia" w:ascii="宋体" w:hAnsi="宋体" w:eastAsia="宋体" w:cs="宋体"/>
                <w:bCs/>
                <w:color w:val="auto"/>
                <w:sz w:val="24"/>
                <w:szCs w:val="24"/>
                <w:highlight w:val="none"/>
              </w:rPr>
              <w:t>方案科学合理高效，工作流程清晰，内容详实，得</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p w14:paraId="4A44EF6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（2）方案较为科学合理高效，基本满足项目基本要求，内容较为详实，得</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分；</w:t>
            </w:r>
          </w:p>
          <w:p w14:paraId="1BDE51D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（3）方案内容针对性一般，内容较简单的，得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p w14:paraId="4848AEF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（4）方案针对性较差或未提供的不得分。</w:t>
            </w:r>
          </w:p>
          <w:p w14:paraId="4438D0C4">
            <w:pPr>
              <w:keepNext w:val="0"/>
              <w:keepLines w:val="0"/>
              <w:pageBreakBefore w:val="0"/>
              <w:widowControl w:val="0"/>
              <w:kinsoku/>
              <w:wordWrap/>
              <w:overflowPunct/>
              <w:topLinePunct w:val="0"/>
              <w:bidi w:val="0"/>
              <w:snapToGrid/>
              <w:spacing w:line="360" w:lineRule="auto"/>
              <w:textAlignment w:val="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实施</w:t>
            </w:r>
            <w:r>
              <w:rPr>
                <w:rFonts w:hint="eastAsia" w:ascii="宋体" w:hAnsi="宋体" w:eastAsia="宋体" w:cs="宋体"/>
                <w:b/>
                <w:bCs/>
                <w:color w:val="auto"/>
                <w:sz w:val="24"/>
                <w:highlight w:val="none"/>
              </w:rPr>
              <w:t>进度计划</w:t>
            </w:r>
          </w:p>
          <w:p w14:paraId="0F84E84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（1）进度计划内容详细，体系完整，科学合理的，得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p w14:paraId="2393892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（2）进度计划内容具有一定实用性，符合项目要求，得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p>
          <w:p w14:paraId="5500404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（3）进度计划内容勉强符合要求，得</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 xml:space="preserve">分； </w:t>
            </w:r>
          </w:p>
          <w:p w14:paraId="2A6AC0D1">
            <w:pPr>
              <w:keepNext w:val="0"/>
              <w:keepLines w:val="0"/>
              <w:pageBreakBefore w:val="0"/>
              <w:widowControl w:val="0"/>
              <w:kinsoku/>
              <w:wordWrap/>
              <w:overflowPunct/>
              <w:topLinePunct w:val="0"/>
              <w:bidi w:val="0"/>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（4）进度计划内容较差或未提供不得分。</w:t>
            </w:r>
          </w:p>
        </w:tc>
        <w:tc>
          <w:tcPr>
            <w:tcW w:w="1089" w:type="dxa"/>
            <w:tcBorders>
              <w:top w:val="single" w:color="auto" w:sz="4" w:space="0"/>
              <w:left w:val="single" w:color="auto" w:sz="4" w:space="0"/>
              <w:bottom w:val="single" w:color="auto" w:sz="4" w:space="0"/>
              <w:right w:val="single" w:color="auto" w:sz="4" w:space="0"/>
            </w:tcBorders>
            <w:vAlign w:val="center"/>
          </w:tcPr>
          <w:p w14:paraId="1CBC8B1A">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仿宋_GB2312"/>
                <w:color w:val="auto"/>
                <w:sz w:val="24"/>
                <w:szCs w:val="20"/>
                <w:highlight w:val="none"/>
                <w:lang w:val="en-US" w:eastAsia="zh-CN"/>
              </w:rPr>
              <w:t>0-25分</w:t>
            </w:r>
          </w:p>
        </w:tc>
      </w:tr>
      <w:tr w14:paraId="6BF3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vAlign w:val="center"/>
          </w:tcPr>
          <w:p w14:paraId="1A48E378">
            <w:pPr>
              <w:keepNext w:val="0"/>
              <w:keepLines w:val="0"/>
              <w:pageBreakBefore w:val="0"/>
              <w:widowControl w:val="0"/>
              <w:kinsoku/>
              <w:wordWrap/>
              <w:overflowPunct/>
              <w:topLinePunct w:val="0"/>
              <w:bidi w:val="0"/>
              <w:snapToGrid/>
              <w:spacing w:line="360" w:lineRule="auto"/>
              <w:textAlignment w:val="auto"/>
              <w:rPr>
                <w:rFonts w:ascii="宋体" w:hAnsi="宋体" w:eastAsia="宋体" w:cs="宋体"/>
                <w:color w:val="auto"/>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vAlign w:val="center"/>
          </w:tcPr>
          <w:p w14:paraId="70261867">
            <w:pPr>
              <w:keepNext w:val="0"/>
              <w:keepLines w:val="0"/>
              <w:pageBreakBefore w:val="0"/>
              <w:widowControl w:val="0"/>
              <w:kinsoku/>
              <w:wordWrap/>
              <w:overflowPunct/>
              <w:topLinePunct w:val="0"/>
              <w:bidi w:val="0"/>
              <w:snapToGrid/>
              <w:spacing w:before="120"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供应商业绩</w:t>
            </w:r>
          </w:p>
        </w:tc>
        <w:tc>
          <w:tcPr>
            <w:tcW w:w="5047" w:type="dxa"/>
            <w:tcBorders>
              <w:top w:val="single" w:color="auto" w:sz="4" w:space="0"/>
              <w:left w:val="single" w:color="auto" w:sz="4" w:space="0"/>
              <w:bottom w:val="single" w:color="auto" w:sz="4" w:space="0"/>
              <w:right w:val="single" w:color="auto" w:sz="4" w:space="0"/>
            </w:tcBorders>
            <w:vAlign w:val="center"/>
          </w:tcPr>
          <w:p w14:paraId="5F1A5C11">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提供近三年（202</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1月1日</w:t>
            </w:r>
            <w:r>
              <w:rPr>
                <w:rFonts w:hint="eastAsia" w:ascii="宋体" w:hAnsi="宋体" w:eastAsia="宋体" w:cs="Times New Roman"/>
                <w:color w:val="auto"/>
                <w:sz w:val="24"/>
                <w:szCs w:val="24"/>
                <w:highlight w:val="none"/>
              </w:rPr>
              <w:t>以来以合同签订时间为准）的</w:t>
            </w:r>
            <w:r>
              <w:rPr>
                <w:rFonts w:hint="eastAsia" w:ascii="宋体" w:hAnsi="宋体" w:eastAsia="宋体" w:cs="Times New Roman"/>
                <w:color w:val="auto"/>
                <w:sz w:val="24"/>
                <w:szCs w:val="24"/>
                <w:highlight w:val="none"/>
                <w:lang w:eastAsia="zh-CN"/>
              </w:rPr>
              <w:t>高级人才寻访（猎头）服务</w:t>
            </w:r>
            <w:r>
              <w:rPr>
                <w:rFonts w:hint="eastAsia" w:ascii="宋体" w:hAnsi="宋体" w:eastAsia="宋体" w:cs="Times New Roman"/>
                <w:color w:val="auto"/>
                <w:sz w:val="24"/>
                <w:szCs w:val="24"/>
                <w:highlight w:val="none"/>
              </w:rPr>
              <w:t>业绩，每提供一</w:t>
            </w:r>
            <w:r>
              <w:rPr>
                <w:rFonts w:hint="eastAsia" w:ascii="宋体" w:hAnsi="宋体" w:eastAsia="宋体" w:cs="Times New Roman"/>
                <w:color w:val="auto"/>
                <w:sz w:val="24"/>
                <w:szCs w:val="24"/>
                <w:highlight w:val="none"/>
                <w:lang w:eastAsia="zh-CN"/>
              </w:rPr>
              <w:t>个</w:t>
            </w:r>
            <w:r>
              <w:rPr>
                <w:rFonts w:hint="eastAsia" w:ascii="宋体" w:hAnsi="宋体" w:eastAsia="宋体" w:cs="Times New Roman"/>
                <w:color w:val="auto"/>
                <w:sz w:val="24"/>
                <w:szCs w:val="24"/>
                <w:highlight w:val="none"/>
              </w:rPr>
              <w:t>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分，总计不超过</w:t>
            </w:r>
            <w:r>
              <w:rPr>
                <w:rFonts w:hint="eastAsia" w:ascii="宋体" w:hAnsi="宋体" w:eastAsia="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rPr>
              <w:t>分，未提供不得分。</w:t>
            </w:r>
          </w:p>
          <w:p w14:paraId="7B3EDE37">
            <w:pPr>
              <w:keepNext w:val="0"/>
              <w:keepLines w:val="0"/>
              <w:pageBreakBefore w:val="0"/>
              <w:widowControl w:val="0"/>
              <w:kinsoku/>
              <w:wordWrap/>
              <w:overflowPunct/>
              <w:topLinePunct w:val="0"/>
              <w:bidi w:val="0"/>
              <w:snapToGrid/>
              <w:spacing w:before="120" w:line="360" w:lineRule="auto"/>
              <w:jc w:val="left"/>
              <w:textAlignment w:val="auto"/>
              <w:rPr>
                <w:rFonts w:ascii="宋体" w:hAnsi="宋体" w:eastAsia="宋体" w:cs="宋体"/>
                <w:color w:val="auto"/>
                <w:sz w:val="24"/>
                <w:szCs w:val="24"/>
                <w:highlight w:val="none"/>
              </w:rPr>
            </w:pPr>
            <w:r>
              <w:rPr>
                <w:rFonts w:hint="eastAsia" w:ascii="宋体" w:hAnsi="宋体" w:eastAsia="宋体" w:cs="Times New Roman"/>
                <w:b/>
                <w:bCs/>
                <w:color w:val="auto"/>
                <w:sz w:val="24"/>
                <w:szCs w:val="24"/>
                <w:highlight w:val="none"/>
              </w:rPr>
              <w:t>注：响应文件中提供业绩合同扫描件，若合同中无法体现项目内容、合同签订时间等关键评审因素的，须另附业主（合同甲方）证明材料的扫描件，未提供或提供不全的不得分。同一个业绩仅计分一次，不重复累计计分。</w:t>
            </w:r>
          </w:p>
        </w:tc>
        <w:tc>
          <w:tcPr>
            <w:tcW w:w="1089" w:type="dxa"/>
            <w:tcBorders>
              <w:top w:val="single" w:color="auto" w:sz="4" w:space="0"/>
              <w:left w:val="single" w:color="auto" w:sz="4" w:space="0"/>
              <w:bottom w:val="single" w:color="auto" w:sz="4" w:space="0"/>
              <w:right w:val="single" w:color="auto" w:sz="4" w:space="0"/>
            </w:tcBorders>
            <w:vAlign w:val="center"/>
          </w:tcPr>
          <w:p w14:paraId="1EA8844E">
            <w:pPr>
              <w:keepNext w:val="0"/>
              <w:keepLines w:val="0"/>
              <w:pageBreakBefore w:val="0"/>
              <w:widowControl w:val="0"/>
              <w:kinsoku/>
              <w:wordWrap/>
              <w:overflowPunct/>
              <w:topLinePunct w:val="0"/>
              <w:bidi w:val="0"/>
              <w:snapToGrid/>
              <w:spacing w:line="36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r w14:paraId="779D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vAlign w:val="center"/>
          </w:tcPr>
          <w:p w14:paraId="7A0A4213">
            <w:pPr>
              <w:keepNext w:val="0"/>
              <w:keepLines w:val="0"/>
              <w:pageBreakBefore w:val="0"/>
              <w:widowControl w:val="0"/>
              <w:kinsoku/>
              <w:wordWrap/>
              <w:overflowPunct/>
              <w:topLinePunct w:val="0"/>
              <w:bidi w:val="0"/>
              <w:snapToGrid/>
              <w:spacing w:line="360" w:lineRule="auto"/>
              <w:textAlignment w:val="auto"/>
              <w:rPr>
                <w:rFonts w:ascii="宋体" w:hAnsi="宋体" w:eastAsia="宋体" w:cs="宋体"/>
                <w:color w:val="auto"/>
                <w:sz w:val="24"/>
                <w:szCs w:val="24"/>
                <w:highlight w:val="none"/>
              </w:rPr>
            </w:pPr>
          </w:p>
        </w:tc>
        <w:tc>
          <w:tcPr>
            <w:tcW w:w="1436" w:type="dxa"/>
            <w:vMerge w:val="restart"/>
            <w:tcBorders>
              <w:top w:val="single" w:color="auto" w:sz="4" w:space="0"/>
              <w:left w:val="single" w:color="auto" w:sz="4" w:space="0"/>
              <w:right w:val="single" w:color="auto" w:sz="4" w:space="0"/>
            </w:tcBorders>
            <w:vAlign w:val="center"/>
          </w:tcPr>
          <w:p w14:paraId="20EE7887">
            <w:pPr>
              <w:keepNext w:val="0"/>
              <w:keepLines w:val="0"/>
              <w:pageBreakBefore w:val="0"/>
              <w:widowControl w:val="0"/>
              <w:kinsoku/>
              <w:wordWrap/>
              <w:overflowPunct/>
              <w:topLinePunct w:val="0"/>
              <w:bidi w:val="0"/>
              <w:snapToGrid/>
              <w:spacing w:before="12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增值服务</w:t>
            </w:r>
          </w:p>
        </w:tc>
        <w:tc>
          <w:tcPr>
            <w:tcW w:w="5047" w:type="dxa"/>
            <w:tcBorders>
              <w:top w:val="single" w:color="auto" w:sz="4" w:space="0"/>
              <w:left w:val="single" w:color="auto" w:sz="4" w:space="0"/>
              <w:bottom w:val="single" w:color="auto" w:sz="4" w:space="0"/>
              <w:right w:val="single" w:color="auto" w:sz="4" w:space="0"/>
            </w:tcBorders>
            <w:vAlign w:val="center"/>
          </w:tcPr>
          <w:p w14:paraId="24217380">
            <w:pPr>
              <w:keepNext w:val="0"/>
              <w:keepLines w:val="0"/>
              <w:pageBreakBefore w:val="0"/>
              <w:widowControl w:val="0"/>
              <w:numPr>
                <w:ilvl w:val="0"/>
                <w:numId w:val="1"/>
              </w:numPr>
              <w:kinsoku/>
              <w:wordWrap/>
              <w:overflowPunct/>
              <w:topLinePunct w:val="0"/>
              <w:bidi w:val="0"/>
              <w:snapToGrid/>
              <w:spacing w:before="120"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有自建招聘网站或以市面成熟招聘网站为依托，可供采购人随时进入查看应聘人员简历，提供得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分，未提供不得分。</w:t>
            </w:r>
          </w:p>
          <w:p w14:paraId="441313C1">
            <w:pPr>
              <w:keepNext w:val="0"/>
              <w:keepLines w:val="0"/>
              <w:pageBreakBefore w:val="0"/>
              <w:widowControl w:val="0"/>
              <w:numPr>
                <w:ilvl w:val="0"/>
                <w:numId w:val="0"/>
              </w:numPr>
              <w:kinsoku/>
              <w:wordWrap/>
              <w:overflowPunct/>
              <w:topLinePunct w:val="0"/>
              <w:bidi w:val="0"/>
              <w:snapToGrid/>
              <w:spacing w:before="120" w:line="360" w:lineRule="auto"/>
              <w:jc w:val="left"/>
              <w:textAlignment w:val="auto"/>
              <w:rPr>
                <w:rFonts w:hint="eastAsia" w:ascii="宋体" w:hAnsi="宋体" w:eastAsia="宋体" w:cs="Times New Roman"/>
                <w:b/>
                <w:bCs/>
                <w:color w:val="auto"/>
                <w:sz w:val="24"/>
                <w:szCs w:val="24"/>
                <w:highlight w:val="none"/>
              </w:rPr>
            </w:pPr>
            <w:r>
              <w:rPr>
                <w:rFonts w:hint="eastAsia" w:ascii="宋体" w:hAnsi="宋体" w:eastAsia="宋体" w:cs="宋体"/>
                <w:b/>
                <w:bCs/>
                <w:color w:val="auto"/>
                <w:sz w:val="24"/>
                <w:szCs w:val="24"/>
                <w:highlight w:val="none"/>
              </w:rPr>
              <w:t>注：</w:t>
            </w:r>
            <w:r>
              <w:rPr>
                <w:rFonts w:ascii="宋体" w:hAnsi="宋体" w:eastAsia="宋体" w:cs="宋体"/>
                <w:b/>
                <w:bCs/>
                <w:color w:val="auto"/>
                <w:sz w:val="24"/>
                <w:szCs w:val="24"/>
                <w:highlight w:val="none"/>
              </w:rPr>
              <w:t>提供与之相匹配的证明文件</w:t>
            </w:r>
            <w:r>
              <w:rPr>
                <w:rFonts w:hint="eastAsia" w:ascii="宋体" w:hAnsi="宋体" w:eastAsia="宋体" w:cs="宋体"/>
                <w:b/>
                <w:bCs/>
                <w:color w:val="auto"/>
                <w:sz w:val="24"/>
                <w:szCs w:val="24"/>
                <w:highlight w:val="none"/>
              </w:rPr>
              <w:t>的扫描件或者影印件。</w:t>
            </w:r>
          </w:p>
        </w:tc>
        <w:tc>
          <w:tcPr>
            <w:tcW w:w="1089" w:type="dxa"/>
            <w:tcBorders>
              <w:top w:val="single" w:color="auto" w:sz="4" w:space="0"/>
              <w:left w:val="single" w:color="auto" w:sz="4" w:space="0"/>
              <w:bottom w:val="single" w:color="auto" w:sz="4" w:space="0"/>
              <w:right w:val="single" w:color="auto" w:sz="4" w:space="0"/>
            </w:tcBorders>
            <w:vAlign w:val="center"/>
          </w:tcPr>
          <w:p w14:paraId="77E6A2E7">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033A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vAlign w:val="center"/>
          </w:tcPr>
          <w:p w14:paraId="55A72F41">
            <w:pPr>
              <w:keepNext w:val="0"/>
              <w:keepLines w:val="0"/>
              <w:pageBreakBefore w:val="0"/>
              <w:widowControl w:val="0"/>
              <w:kinsoku/>
              <w:wordWrap/>
              <w:overflowPunct/>
              <w:topLinePunct w:val="0"/>
              <w:bidi w:val="0"/>
              <w:snapToGrid/>
              <w:spacing w:line="360" w:lineRule="auto"/>
              <w:textAlignment w:val="auto"/>
              <w:rPr>
                <w:rFonts w:ascii="宋体" w:hAnsi="宋体" w:eastAsia="宋体" w:cs="宋体"/>
                <w:color w:val="auto"/>
                <w:sz w:val="24"/>
                <w:szCs w:val="24"/>
                <w:highlight w:val="none"/>
              </w:rPr>
            </w:pPr>
          </w:p>
        </w:tc>
        <w:tc>
          <w:tcPr>
            <w:tcW w:w="1436" w:type="dxa"/>
            <w:vMerge w:val="continue"/>
            <w:tcBorders>
              <w:left w:val="single" w:color="auto" w:sz="4" w:space="0"/>
              <w:bottom w:val="single" w:color="auto" w:sz="4" w:space="0"/>
              <w:right w:val="single" w:color="auto" w:sz="4" w:space="0"/>
            </w:tcBorders>
            <w:vAlign w:val="center"/>
          </w:tcPr>
          <w:p w14:paraId="726081F7">
            <w:pPr>
              <w:keepNext w:val="0"/>
              <w:keepLines w:val="0"/>
              <w:pageBreakBefore w:val="0"/>
              <w:widowControl w:val="0"/>
              <w:kinsoku/>
              <w:wordWrap/>
              <w:overflowPunct/>
              <w:topLinePunct w:val="0"/>
              <w:bidi w:val="0"/>
              <w:snapToGrid/>
              <w:spacing w:before="120" w:line="360" w:lineRule="auto"/>
              <w:jc w:val="center"/>
              <w:textAlignment w:val="auto"/>
              <w:rPr>
                <w:rFonts w:hint="eastAsia" w:ascii="宋体" w:hAnsi="宋体" w:eastAsia="宋体" w:cs="宋体"/>
                <w:color w:val="auto"/>
                <w:sz w:val="24"/>
                <w:szCs w:val="24"/>
                <w:highlight w:val="none"/>
              </w:rPr>
            </w:pPr>
          </w:p>
        </w:tc>
        <w:tc>
          <w:tcPr>
            <w:tcW w:w="5047" w:type="dxa"/>
            <w:tcBorders>
              <w:top w:val="single" w:color="auto" w:sz="4" w:space="0"/>
              <w:left w:val="single" w:color="auto" w:sz="4" w:space="0"/>
              <w:bottom w:val="single" w:color="auto" w:sz="4" w:space="0"/>
              <w:right w:val="single" w:color="auto" w:sz="4" w:space="0"/>
            </w:tcBorders>
            <w:vAlign w:val="center"/>
          </w:tcPr>
          <w:p w14:paraId="7D48A7C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因非</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单位原因发生聘用终止，</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单位应对采购人单位开放的岗位重新推荐，自采购人告知</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单位聘用终止信息之日起3个月内，无任何岗位成功推荐录用人选，导致退还已支付的首付款项的，根据退款比例获得相应分数。</w:t>
            </w:r>
          </w:p>
          <w:p w14:paraId="3EEF220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承诺退款</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0%及以上的，得5分</w:t>
            </w:r>
            <w:r>
              <w:rPr>
                <w:rFonts w:hint="eastAsia" w:ascii="宋体" w:hAnsi="宋体" w:eastAsia="宋体" w:cs="宋体"/>
                <w:bCs/>
                <w:color w:val="auto"/>
                <w:sz w:val="24"/>
                <w:szCs w:val="24"/>
                <w:highlight w:val="none"/>
                <w:lang w:eastAsia="zh-CN"/>
              </w:rPr>
              <w:t>；</w:t>
            </w:r>
          </w:p>
          <w:p w14:paraId="473A0BF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承诺退款[</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0%)的，得4分</w:t>
            </w:r>
            <w:r>
              <w:rPr>
                <w:rFonts w:hint="eastAsia" w:ascii="宋体" w:hAnsi="宋体" w:eastAsia="宋体" w:cs="宋体"/>
                <w:bCs/>
                <w:color w:val="auto"/>
                <w:sz w:val="24"/>
                <w:szCs w:val="24"/>
                <w:highlight w:val="none"/>
                <w:lang w:eastAsia="zh-CN"/>
              </w:rPr>
              <w:t>；</w:t>
            </w:r>
          </w:p>
          <w:p w14:paraId="50ACC22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承诺退款[</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0%)的，得3分</w:t>
            </w:r>
            <w:r>
              <w:rPr>
                <w:rFonts w:hint="eastAsia" w:ascii="宋体" w:hAnsi="宋体" w:eastAsia="宋体" w:cs="宋体"/>
                <w:bCs/>
                <w:color w:val="auto"/>
                <w:sz w:val="24"/>
                <w:szCs w:val="24"/>
                <w:highlight w:val="none"/>
                <w:lang w:eastAsia="zh-CN"/>
              </w:rPr>
              <w:t>；</w:t>
            </w:r>
          </w:p>
          <w:p w14:paraId="54983EF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承诺退款[</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0%-</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0%)的，得2分</w:t>
            </w:r>
            <w:r>
              <w:rPr>
                <w:rFonts w:hint="eastAsia" w:ascii="宋体" w:hAnsi="宋体" w:eastAsia="宋体" w:cs="宋体"/>
                <w:bCs/>
                <w:color w:val="auto"/>
                <w:sz w:val="24"/>
                <w:szCs w:val="24"/>
                <w:highlight w:val="none"/>
                <w:lang w:eastAsia="zh-CN"/>
              </w:rPr>
              <w:t>；</w:t>
            </w:r>
          </w:p>
          <w:p w14:paraId="2BB201D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低于</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0%不得分，得1分</w:t>
            </w:r>
            <w:r>
              <w:rPr>
                <w:rFonts w:hint="eastAsia" w:ascii="宋体" w:hAnsi="宋体" w:eastAsia="宋体" w:cs="宋体"/>
                <w:bCs/>
                <w:color w:val="auto"/>
                <w:sz w:val="24"/>
                <w:szCs w:val="24"/>
                <w:highlight w:val="none"/>
                <w:lang w:eastAsia="zh-CN"/>
              </w:rPr>
              <w:t>。</w:t>
            </w:r>
          </w:p>
          <w:p w14:paraId="3326EC7F">
            <w:pPr>
              <w:pStyle w:val="2"/>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color w:val="auto"/>
                <w:highlight w:val="none"/>
                <w:lang w:eastAsia="zh-CN"/>
              </w:rPr>
            </w:pPr>
            <w:r>
              <w:rPr>
                <w:rFonts w:hint="eastAsia" w:ascii="宋体" w:hAnsi="宋体" w:eastAsia="宋体" w:cs="Times New Roman"/>
                <w:b/>
                <w:bCs/>
                <w:color w:val="auto"/>
                <w:kern w:val="2"/>
                <w:sz w:val="24"/>
                <w:szCs w:val="24"/>
                <w:highlight w:val="none"/>
                <w:lang w:val="en-US" w:eastAsia="zh-CN" w:bidi="ar-SA"/>
              </w:rPr>
              <w:t>注：供应商提供承诺函，格式自拟。</w:t>
            </w:r>
          </w:p>
        </w:tc>
        <w:tc>
          <w:tcPr>
            <w:tcW w:w="1089" w:type="dxa"/>
            <w:tcBorders>
              <w:top w:val="single" w:color="auto" w:sz="4" w:space="0"/>
              <w:left w:val="single" w:color="auto" w:sz="4" w:space="0"/>
              <w:bottom w:val="single" w:color="auto" w:sz="4" w:space="0"/>
              <w:right w:val="single" w:color="auto" w:sz="4" w:space="0"/>
            </w:tcBorders>
            <w:vAlign w:val="center"/>
          </w:tcPr>
          <w:p w14:paraId="21D84535">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0C64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vAlign w:val="center"/>
          </w:tcPr>
          <w:p w14:paraId="149C5DEA">
            <w:pPr>
              <w:keepNext w:val="0"/>
              <w:keepLines w:val="0"/>
              <w:pageBreakBefore w:val="0"/>
              <w:widowControl w:val="0"/>
              <w:kinsoku/>
              <w:wordWrap/>
              <w:overflowPunct/>
              <w:topLinePunct w:val="0"/>
              <w:bidi w:val="0"/>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要求了</w:t>
            </w:r>
          </w:p>
        </w:tc>
        <w:tc>
          <w:tcPr>
            <w:tcW w:w="1436" w:type="dxa"/>
            <w:tcBorders>
              <w:top w:val="single" w:color="auto" w:sz="4" w:space="0"/>
              <w:left w:val="single" w:color="auto" w:sz="4" w:space="0"/>
              <w:bottom w:val="single" w:color="auto" w:sz="4" w:space="0"/>
              <w:right w:val="single" w:color="auto" w:sz="4" w:space="0"/>
            </w:tcBorders>
            <w:vAlign w:val="center"/>
          </w:tcPr>
          <w:p w14:paraId="3354B5A3">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人员配备</w:t>
            </w:r>
          </w:p>
        </w:tc>
        <w:tc>
          <w:tcPr>
            <w:tcW w:w="5047" w:type="dxa"/>
            <w:tcBorders>
              <w:top w:val="single" w:color="auto" w:sz="4" w:space="0"/>
              <w:left w:val="single" w:color="auto" w:sz="4" w:space="0"/>
              <w:bottom w:val="single" w:color="auto" w:sz="4" w:space="0"/>
              <w:right w:val="single" w:color="auto" w:sz="4" w:space="0"/>
            </w:tcBorders>
            <w:vAlign w:val="center"/>
          </w:tcPr>
          <w:p w14:paraId="327B47C8">
            <w:pPr>
              <w:keepNext w:val="0"/>
              <w:keepLines w:val="0"/>
              <w:pageBreakBefore w:val="0"/>
              <w:widowControl w:val="0"/>
              <w:kinsoku/>
              <w:wordWrap/>
              <w:overflowPunct/>
              <w:topLinePunct w:val="0"/>
              <w:bidi w:val="0"/>
              <w:snapToGrid/>
              <w:spacing w:line="36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供应商针对本项目成立项目团队：</w:t>
            </w:r>
          </w:p>
          <w:p w14:paraId="4A04025B">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宋体"/>
                <w:b/>
                <w:bCs/>
                <w:color w:val="auto"/>
                <w:kern w:val="0"/>
                <w:sz w:val="24"/>
                <w:szCs w:val="24"/>
                <w:highlight w:val="none"/>
              </w:rPr>
              <w:t>1</w:t>
            </w:r>
            <w:r>
              <w:rPr>
                <w:rFonts w:hint="eastAsia" w:hAnsi="宋体" w:eastAsia="宋体"/>
                <w:b/>
                <w:bCs/>
                <w:color w:val="auto"/>
                <w:highlight w:val="none"/>
              </w:rPr>
              <w:t>、</w:t>
            </w:r>
            <w:r>
              <w:rPr>
                <w:rFonts w:hint="eastAsia" w:ascii="宋体" w:hAnsi="宋体" w:eastAsia="宋体" w:cs="宋体"/>
                <w:b/>
                <w:bCs/>
                <w:color w:val="auto"/>
                <w:kern w:val="0"/>
                <w:sz w:val="24"/>
                <w:szCs w:val="24"/>
                <w:highlight w:val="none"/>
              </w:rPr>
              <w:t>项目负责人：</w:t>
            </w:r>
          </w:p>
          <w:p w14:paraId="01289D1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① 拟派项目负责人具有 5 年及以上人力资源工作经验的，得 2 分；</w:t>
            </w:r>
          </w:p>
          <w:p w14:paraId="1A912C0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② 具有大专学历的得 1 分，具有本科及以上学历的得 2 分，满分 2 分。</w:t>
            </w:r>
          </w:p>
          <w:p w14:paraId="3DDAF7E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本小项满分4分。</w:t>
            </w:r>
          </w:p>
          <w:p w14:paraId="5F453BA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ascii="宋体" w:hAnsi="宋体" w:eastAsia="宋体" w:cs="宋体"/>
                <w:b/>
                <w:bCs/>
                <w:color w:val="auto"/>
                <w:sz w:val="24"/>
                <w:szCs w:val="24"/>
                <w:highlight w:val="none"/>
              </w:rPr>
              <w:t>提供与之相匹配的证明文件</w:t>
            </w:r>
            <w:r>
              <w:rPr>
                <w:rFonts w:hint="eastAsia" w:ascii="宋体" w:hAnsi="宋体" w:eastAsia="宋体" w:cs="宋体"/>
                <w:b/>
                <w:bCs/>
                <w:color w:val="auto"/>
                <w:sz w:val="24"/>
                <w:szCs w:val="24"/>
                <w:highlight w:val="none"/>
              </w:rPr>
              <w:t>的扫描件或者影印件。</w:t>
            </w:r>
          </w:p>
          <w:p w14:paraId="31AF919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2、项目组成人员（除拟派项目负责人外）</w:t>
            </w:r>
          </w:p>
          <w:p w14:paraId="25336F71">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① 拟派项目组成员具有 2 年及以上人力资源工作经验的，得 1 分；</w:t>
            </w:r>
          </w:p>
          <w:p w14:paraId="16513DF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② 具有大专学历的得 1 分，具有本科及以上学历的得 2 分，满分 2 分。</w:t>
            </w:r>
          </w:p>
          <w:p w14:paraId="43C5F936">
            <w:pPr>
              <w:pStyle w:val="2"/>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default"/>
                <w:color w:val="auto"/>
                <w:highlight w:val="none"/>
                <w:lang w:val="en-US" w:eastAsia="zh-CN"/>
              </w:rPr>
            </w:pPr>
            <w:r>
              <w:rPr>
                <w:rFonts w:hint="eastAsia" w:eastAsia="宋体" w:cs="Times New Roman"/>
                <w:color w:val="auto"/>
                <w:sz w:val="24"/>
                <w:szCs w:val="24"/>
                <w:highlight w:val="none"/>
                <w:lang w:val="en-US" w:eastAsia="zh-CN"/>
              </w:rPr>
              <w:t>本小项满分12分。</w:t>
            </w:r>
          </w:p>
          <w:p w14:paraId="292E670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ascii="宋体" w:hAnsi="宋体" w:eastAsia="宋体" w:cs="宋体"/>
                <w:b/>
                <w:bCs/>
                <w:color w:val="auto"/>
                <w:sz w:val="24"/>
                <w:szCs w:val="24"/>
                <w:highlight w:val="none"/>
              </w:rPr>
              <w:t>提供与之相匹配的证明文件</w:t>
            </w:r>
            <w:r>
              <w:rPr>
                <w:rFonts w:hint="eastAsia" w:ascii="宋体" w:hAnsi="宋体" w:eastAsia="宋体" w:cs="宋体"/>
                <w:b/>
                <w:bCs/>
                <w:color w:val="auto"/>
                <w:sz w:val="24"/>
                <w:szCs w:val="24"/>
                <w:highlight w:val="none"/>
              </w:rPr>
              <w:t>的扫描件或者影印件。</w:t>
            </w:r>
          </w:p>
          <w:p w14:paraId="0D95561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注：以上人员</w:t>
            </w:r>
            <w:r>
              <w:rPr>
                <w:rFonts w:hint="eastAsia" w:ascii="宋体" w:hAnsi="宋体" w:eastAsia="宋体" w:cs="宋体"/>
                <w:b/>
                <w:bCs/>
                <w:color w:val="auto"/>
                <w:sz w:val="24"/>
                <w:szCs w:val="24"/>
                <w:highlight w:val="none"/>
              </w:rPr>
              <w:t>需提供近三个月内任意一个月社保证明。</w:t>
            </w:r>
          </w:p>
        </w:tc>
        <w:tc>
          <w:tcPr>
            <w:tcW w:w="1089" w:type="dxa"/>
            <w:tcBorders>
              <w:top w:val="single" w:color="auto" w:sz="4" w:space="0"/>
              <w:left w:val="single" w:color="auto" w:sz="4" w:space="0"/>
              <w:bottom w:val="single" w:color="auto" w:sz="4" w:space="0"/>
              <w:right w:val="single" w:color="auto" w:sz="4" w:space="0"/>
            </w:tcBorders>
            <w:vAlign w:val="center"/>
          </w:tcPr>
          <w:p w14:paraId="37E6E238">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r>
      <w:tr w14:paraId="274C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tcBorders>
              <w:left w:val="single" w:color="auto" w:sz="4" w:space="0"/>
              <w:right w:val="single" w:color="auto" w:sz="4" w:space="0"/>
            </w:tcBorders>
            <w:vAlign w:val="center"/>
          </w:tcPr>
          <w:p w14:paraId="3DDB6359">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40CDF0B8">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7572" w:type="dxa"/>
            <w:gridSpan w:val="3"/>
            <w:tcBorders>
              <w:top w:val="single" w:color="auto" w:sz="4" w:space="0"/>
              <w:left w:val="single" w:color="auto" w:sz="4" w:space="0"/>
              <w:bottom w:val="single" w:color="auto" w:sz="4" w:space="0"/>
              <w:right w:val="single" w:color="auto" w:sz="4" w:space="0"/>
            </w:tcBorders>
            <w:vAlign w:val="center"/>
          </w:tcPr>
          <w:p w14:paraId="62A8E81D">
            <w:pPr>
              <w:keepNext w:val="0"/>
              <w:keepLines w:val="0"/>
              <w:pageBreakBefore w:val="0"/>
              <w:widowControl w:val="0"/>
              <w:kinsoku/>
              <w:wordWrap/>
              <w:overflowPunct/>
              <w:topLinePunct w:val="0"/>
              <w:bidi w:val="0"/>
              <w:snapToGrid/>
              <w:spacing w:line="36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价格分统一采用低价优先法，即满足磋商文件要求且价格最低的报价为评标基准价。其他供应商的价格分统一按照下列公式计算：</w:t>
            </w:r>
          </w:p>
          <w:p w14:paraId="2E5E749D">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b/>
                <w:bCs/>
                <w:color w:val="auto"/>
                <w:sz w:val="24"/>
                <w:szCs w:val="28"/>
                <w:highlight w:val="none"/>
                <w:lang w:eastAsia="zh-CN"/>
              </w:rPr>
              <w:t>年薪</w:t>
            </w:r>
            <w:r>
              <w:rPr>
                <w:rFonts w:hint="eastAsia" w:ascii="宋体" w:hAnsi="宋体" w:eastAsia="宋体"/>
                <w:b/>
                <w:bCs/>
                <w:color w:val="auto"/>
                <w:sz w:val="24"/>
                <w:szCs w:val="28"/>
                <w:highlight w:val="none"/>
              </w:rPr>
              <w:t>层级</w:t>
            </w:r>
            <w:r>
              <w:rPr>
                <w:rFonts w:hint="eastAsia" w:ascii="宋体" w:hAnsi="宋体" w:eastAsia="宋体"/>
                <w:b/>
                <w:bCs/>
                <w:color w:val="auto"/>
                <w:sz w:val="24"/>
                <w:szCs w:val="28"/>
                <w:highlight w:val="none"/>
                <w:lang w:val="en-US" w:eastAsia="zh-CN"/>
              </w:rPr>
              <w:t>0-100万</w:t>
            </w:r>
            <w:r>
              <w:rPr>
                <w:rFonts w:hint="eastAsia" w:ascii="宋体" w:hAnsi="宋体" w:eastAsia="宋体" w:cs="宋体"/>
                <w:b/>
                <w:bCs/>
                <w:color w:val="auto"/>
                <w:sz w:val="24"/>
                <w:szCs w:val="24"/>
                <w:highlight w:val="none"/>
              </w:rPr>
              <w:t>报价得分</w:t>
            </w:r>
            <w:r>
              <w:rPr>
                <w:rFonts w:hint="eastAsia" w:ascii="宋体" w:hAnsi="宋体" w:eastAsia="宋体" w:cs="宋体"/>
                <w:color w:val="auto"/>
                <w:sz w:val="24"/>
                <w:szCs w:val="24"/>
                <w:highlight w:val="none"/>
              </w:rPr>
              <w:t>＝（评标基准价/报价）×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％×100</w:t>
            </w:r>
          </w:p>
          <w:p w14:paraId="503D9D3A">
            <w:pPr>
              <w:keepNext w:val="0"/>
              <w:keepLines w:val="0"/>
              <w:pageBreakBefore w:val="0"/>
              <w:widowControl w:val="0"/>
              <w:kinsoku/>
              <w:wordWrap/>
              <w:overflowPunct/>
              <w:topLinePunct w:val="0"/>
              <w:bidi w:val="0"/>
              <w:snapToGrid/>
              <w:spacing w:line="360" w:lineRule="auto"/>
              <w:jc w:val="left"/>
              <w:textAlignment w:val="auto"/>
              <w:rPr>
                <w:rFonts w:ascii="宋体" w:hAnsi="宋体" w:eastAsia="宋体" w:cs="宋体"/>
                <w:color w:val="auto"/>
                <w:sz w:val="24"/>
                <w:szCs w:val="24"/>
                <w:highlight w:val="none"/>
              </w:rPr>
            </w:pPr>
            <w:r>
              <w:rPr>
                <w:rFonts w:hint="eastAsia" w:ascii="宋体" w:hAnsi="宋体" w:eastAsia="宋体"/>
                <w:b/>
                <w:bCs/>
                <w:color w:val="auto"/>
                <w:sz w:val="24"/>
                <w:szCs w:val="28"/>
                <w:highlight w:val="none"/>
                <w:lang w:eastAsia="zh-CN"/>
              </w:rPr>
              <w:t>年薪层级</w:t>
            </w:r>
            <w:r>
              <w:rPr>
                <w:rFonts w:hint="eastAsia" w:ascii="宋体" w:hAnsi="宋体" w:eastAsia="宋体"/>
                <w:b/>
                <w:bCs/>
                <w:color w:val="auto"/>
                <w:sz w:val="24"/>
                <w:szCs w:val="28"/>
                <w:highlight w:val="none"/>
                <w:lang w:val="en-US" w:eastAsia="zh-CN"/>
              </w:rPr>
              <w:t>100万以上</w:t>
            </w:r>
            <w:r>
              <w:rPr>
                <w:rFonts w:hint="eastAsia" w:ascii="宋体" w:hAnsi="宋体" w:eastAsia="宋体"/>
                <w:b/>
                <w:bCs/>
                <w:color w:val="auto"/>
                <w:sz w:val="24"/>
                <w:szCs w:val="28"/>
                <w:highlight w:val="none"/>
                <w:lang w:eastAsia="zh-CN"/>
              </w:rPr>
              <w:t>报价得分</w:t>
            </w:r>
            <w:r>
              <w:rPr>
                <w:rFonts w:hint="eastAsia" w:ascii="宋体" w:hAnsi="宋体" w:eastAsia="宋体" w:cs="宋体"/>
                <w:color w:val="auto"/>
                <w:sz w:val="24"/>
                <w:szCs w:val="24"/>
                <w:highlight w:val="none"/>
              </w:rPr>
              <w:t>＝（评标基准价/报价）×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％×100</w:t>
            </w:r>
          </w:p>
        </w:tc>
      </w:tr>
    </w:tbl>
    <w:p w14:paraId="53E42217">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.3</w:t>
      </w:r>
      <w:r>
        <w:rPr>
          <w:rFonts w:hint="eastAsia" w:ascii="宋体" w:hAnsi="宋体" w:eastAsia="宋体"/>
          <w:color w:val="auto"/>
          <w:sz w:val="24"/>
          <w:highlight w:val="none"/>
        </w:rPr>
        <w:t>分值汇总</w:t>
      </w:r>
    </w:p>
    <w:p w14:paraId="7DC32BF5">
      <w:pPr>
        <w:spacing w:line="50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（1）技术资信评分</w:t>
      </w:r>
    </w:p>
    <w:p w14:paraId="19868F39">
      <w:pPr>
        <w:spacing w:line="50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磋商小组各成员应当独立对每个有效响应的供应商的响应文件进行评价、打分，汇总各项评分因素的得分</w:t>
      </w:r>
      <w:r>
        <w:rPr>
          <w:rFonts w:ascii="宋体" w:hAnsi="宋体" w:eastAsia="宋体"/>
          <w:color w:val="auto"/>
          <w:sz w:val="24"/>
          <w:highlight w:val="none"/>
        </w:rPr>
        <w:t>，得到该</w:t>
      </w:r>
      <w:r>
        <w:rPr>
          <w:rFonts w:hint="eastAsia" w:ascii="宋体" w:hAnsi="宋体" w:eastAsia="宋体"/>
          <w:color w:val="auto"/>
          <w:sz w:val="24"/>
          <w:highlight w:val="none"/>
        </w:rPr>
        <w:t>磋商小组成员对各有效响应供应商</w:t>
      </w:r>
      <w:r>
        <w:rPr>
          <w:rFonts w:ascii="宋体" w:hAnsi="宋体" w:eastAsia="宋体"/>
          <w:color w:val="auto"/>
          <w:sz w:val="24"/>
          <w:highlight w:val="none"/>
        </w:rPr>
        <w:t>的技术资信分。</w:t>
      </w:r>
      <w:r>
        <w:rPr>
          <w:rFonts w:hint="eastAsia" w:ascii="宋体" w:hAnsi="宋体" w:eastAsia="宋体"/>
          <w:color w:val="auto"/>
          <w:sz w:val="24"/>
          <w:highlight w:val="none"/>
        </w:rPr>
        <w:t>取磋商小组各成员技术资信分之平均值（四舍五入保留至小数点后两位数），</w:t>
      </w:r>
      <w:r>
        <w:rPr>
          <w:rFonts w:ascii="宋体" w:hAnsi="宋体" w:eastAsia="宋体"/>
          <w:color w:val="auto"/>
          <w:sz w:val="24"/>
          <w:highlight w:val="none"/>
        </w:rPr>
        <w:t>得到该</w:t>
      </w:r>
      <w:r>
        <w:rPr>
          <w:rFonts w:hint="eastAsia" w:ascii="宋体" w:hAnsi="宋体" w:eastAsia="宋体"/>
          <w:color w:val="auto"/>
          <w:sz w:val="24"/>
          <w:highlight w:val="none"/>
        </w:rPr>
        <w:t>供应商</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06DF0A0B">
      <w:pPr>
        <w:spacing w:line="50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（2）综合总得分</w:t>
      </w:r>
    </w:p>
    <w:p w14:paraId="36760854">
      <w:pPr>
        <w:spacing w:line="500" w:lineRule="exact"/>
        <w:ind w:firstLine="435"/>
        <w:jc w:val="left"/>
        <w:rPr>
          <w:rFonts w:ascii="宋体" w:hAnsi="宋体" w:eastAsia="宋体"/>
          <w:color w:val="auto"/>
          <w:sz w:val="24"/>
          <w:highlight w:val="none"/>
        </w:rPr>
      </w:pPr>
      <w:r>
        <w:rPr>
          <w:rFonts w:ascii="宋体" w:hAnsi="宋体" w:eastAsia="宋体"/>
          <w:color w:val="auto"/>
          <w:sz w:val="24"/>
          <w:highlight w:val="none"/>
        </w:rPr>
        <w:t>将</w:t>
      </w:r>
      <w:r>
        <w:rPr>
          <w:rFonts w:hint="eastAsia" w:ascii="宋体" w:hAnsi="宋体" w:eastAsia="宋体"/>
          <w:color w:val="auto"/>
          <w:sz w:val="24"/>
          <w:highlight w:val="none"/>
        </w:rPr>
        <w:t>供应商</w:t>
      </w:r>
      <w:r>
        <w:rPr>
          <w:rFonts w:ascii="宋体" w:hAnsi="宋体" w:eastAsia="宋体"/>
          <w:color w:val="auto"/>
          <w:sz w:val="24"/>
          <w:highlight w:val="none"/>
        </w:rPr>
        <w:t>的技术资信分加上根据上述标准计算出的价格分，即为该</w:t>
      </w:r>
      <w:r>
        <w:rPr>
          <w:rFonts w:hint="eastAsia" w:ascii="宋体" w:hAnsi="宋体" w:eastAsia="宋体"/>
          <w:color w:val="auto"/>
          <w:sz w:val="24"/>
          <w:highlight w:val="none"/>
        </w:rPr>
        <w:t>供应商</w:t>
      </w:r>
      <w:r>
        <w:rPr>
          <w:rFonts w:ascii="宋体" w:hAnsi="宋体" w:eastAsia="宋体"/>
          <w:color w:val="auto"/>
          <w:sz w:val="24"/>
          <w:highlight w:val="none"/>
        </w:rPr>
        <w:t>的综合总得分。</w:t>
      </w:r>
    </w:p>
    <w:p w14:paraId="2524833A">
      <w:pPr>
        <w:rPr>
          <w:rFonts w:ascii="华文中宋" w:hAnsi="华文中宋" w:eastAsia="华文中宋" w:cs="Times New Roman"/>
          <w:b/>
          <w:bCs/>
          <w:color w:val="auto"/>
          <w:kern w:val="44"/>
          <w:sz w:val="44"/>
          <w:szCs w:val="44"/>
          <w:highlight w:val="none"/>
        </w:rPr>
      </w:pPr>
      <w:bookmarkStart w:id="17" w:name="_Toc26135"/>
      <w:r>
        <w:rPr>
          <w:rFonts w:hint="eastAsia" w:ascii="华文中宋" w:hAnsi="华文中宋" w:eastAsia="华文中宋" w:cs="Times New Roman"/>
          <w:b/>
          <w:bCs/>
          <w:color w:val="auto"/>
          <w:kern w:val="44"/>
          <w:sz w:val="44"/>
          <w:szCs w:val="44"/>
          <w:highlight w:val="none"/>
        </w:rPr>
        <w:br w:type="page"/>
      </w:r>
    </w:p>
    <w:p w14:paraId="7F6F9251">
      <w:pPr>
        <w:wordWrap w:val="0"/>
        <w:spacing w:line="360" w:lineRule="auto"/>
        <w:jc w:val="center"/>
        <w:outlineLvl w:val="1"/>
        <w:rPr>
          <w:rFonts w:ascii="华文中宋" w:hAnsi="华文中宋" w:eastAsia="华文中宋" w:cs="Times New Roman"/>
          <w:b/>
          <w:bCs/>
          <w:color w:val="auto"/>
          <w:kern w:val="44"/>
          <w:sz w:val="44"/>
          <w:szCs w:val="44"/>
          <w:highlight w:val="none"/>
        </w:rPr>
      </w:pPr>
      <w:r>
        <w:rPr>
          <w:rFonts w:hint="eastAsia" w:ascii="华文中宋" w:hAnsi="华文中宋" w:eastAsia="华文中宋" w:cs="Times New Roman"/>
          <w:b/>
          <w:bCs/>
          <w:color w:val="auto"/>
          <w:kern w:val="44"/>
          <w:sz w:val="44"/>
          <w:szCs w:val="44"/>
          <w:highlight w:val="none"/>
        </w:rPr>
        <w:t>第五章  采购合同（仅供参考）</w:t>
      </w:r>
      <w:bookmarkEnd w:id="17"/>
    </w:p>
    <w:p w14:paraId="1B620539">
      <w:pPr>
        <w:wordWrap w:val="0"/>
        <w:spacing w:line="440" w:lineRule="exact"/>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第一部分 合同书</w:t>
      </w:r>
    </w:p>
    <w:p w14:paraId="5BFF838F">
      <w:pPr>
        <w:wordWrap w:val="0"/>
        <w:spacing w:line="440" w:lineRule="exact"/>
        <w:jc w:val="center"/>
        <w:rPr>
          <w:rFonts w:ascii="宋体" w:hAnsi="宋体" w:eastAsia="宋体"/>
          <w:b/>
          <w:color w:val="auto"/>
          <w:sz w:val="24"/>
          <w:highlight w:val="none"/>
        </w:rPr>
      </w:pPr>
    </w:p>
    <w:p w14:paraId="2DC7E6E0">
      <w:pPr>
        <w:wordWrap w:val="0"/>
        <w:spacing w:line="440" w:lineRule="exact"/>
        <w:jc w:val="center"/>
        <w:rPr>
          <w:rFonts w:ascii="宋体" w:hAnsi="宋体" w:eastAsia="宋体"/>
          <w:b/>
          <w:color w:val="auto"/>
          <w:sz w:val="24"/>
          <w:highlight w:val="none"/>
        </w:rPr>
      </w:pPr>
    </w:p>
    <w:p w14:paraId="6642C339">
      <w:pPr>
        <w:wordWrap w:val="0"/>
        <w:spacing w:line="440" w:lineRule="exact"/>
        <w:jc w:val="center"/>
        <w:rPr>
          <w:rFonts w:ascii="宋体" w:hAnsi="宋体" w:eastAsia="宋体"/>
          <w:b/>
          <w:color w:val="auto"/>
          <w:sz w:val="24"/>
          <w:highlight w:val="none"/>
        </w:rPr>
      </w:pPr>
    </w:p>
    <w:p w14:paraId="1BC53FEA">
      <w:pPr>
        <w:keepNext/>
        <w:keepLines/>
        <w:spacing w:before="120" w:after="120" w:line="360" w:lineRule="auto"/>
        <w:jc w:val="left"/>
        <w:outlineLvl w:val="2"/>
        <w:rPr>
          <w:rFonts w:ascii="宋体" w:hAnsi="宋体" w:eastAsia="宋体"/>
          <w:b/>
          <w:bCs/>
          <w:color w:val="auto"/>
          <w:sz w:val="24"/>
          <w:highlight w:val="none"/>
        </w:rPr>
      </w:pPr>
    </w:p>
    <w:p w14:paraId="4C34D007">
      <w:pPr>
        <w:rPr>
          <w:rFonts w:ascii="宋体" w:hAnsi="宋体" w:eastAsia="宋体"/>
          <w:b/>
          <w:color w:val="auto"/>
          <w:sz w:val="24"/>
          <w:highlight w:val="none"/>
        </w:rPr>
      </w:pPr>
    </w:p>
    <w:p w14:paraId="66524CB7">
      <w:pPr>
        <w:keepNext/>
        <w:keepLines/>
        <w:spacing w:before="120" w:after="120" w:line="360" w:lineRule="auto"/>
        <w:jc w:val="left"/>
        <w:outlineLvl w:val="2"/>
        <w:rPr>
          <w:rFonts w:ascii="宋体" w:hAnsi="宋体" w:eastAsia="宋体"/>
          <w:b/>
          <w:bCs/>
          <w:color w:val="auto"/>
          <w:sz w:val="24"/>
          <w:highlight w:val="none"/>
        </w:rPr>
      </w:pPr>
    </w:p>
    <w:p w14:paraId="400FD081">
      <w:pPr>
        <w:rPr>
          <w:rFonts w:ascii="宋体" w:hAnsi="宋体" w:eastAsia="宋体"/>
          <w:b/>
          <w:color w:val="auto"/>
          <w:sz w:val="24"/>
          <w:highlight w:val="none"/>
        </w:rPr>
      </w:pPr>
    </w:p>
    <w:p w14:paraId="57861D62">
      <w:pPr>
        <w:keepNext/>
        <w:keepLines/>
        <w:spacing w:before="120" w:after="120" w:line="360" w:lineRule="auto"/>
        <w:jc w:val="left"/>
        <w:outlineLvl w:val="2"/>
        <w:rPr>
          <w:rFonts w:ascii="宋体" w:hAnsi="宋体" w:eastAsia="宋体"/>
          <w:b/>
          <w:bCs/>
          <w:color w:val="auto"/>
          <w:sz w:val="24"/>
          <w:highlight w:val="none"/>
        </w:rPr>
      </w:pPr>
    </w:p>
    <w:p w14:paraId="4B41C43E">
      <w:pPr>
        <w:rPr>
          <w:rFonts w:ascii="宋体" w:hAnsi="宋体" w:eastAsia="宋体"/>
          <w:b/>
          <w:color w:val="auto"/>
          <w:sz w:val="24"/>
          <w:highlight w:val="none"/>
        </w:rPr>
      </w:pPr>
    </w:p>
    <w:p w14:paraId="337B418E">
      <w:pPr>
        <w:keepNext/>
        <w:keepLines/>
        <w:spacing w:before="120" w:after="120" w:line="360" w:lineRule="auto"/>
        <w:jc w:val="left"/>
        <w:outlineLvl w:val="2"/>
        <w:rPr>
          <w:rFonts w:ascii="宋体" w:hAnsi="宋体" w:eastAsia="宋体"/>
          <w:b/>
          <w:bCs/>
          <w:color w:val="auto"/>
          <w:sz w:val="24"/>
          <w:highlight w:val="none"/>
        </w:rPr>
      </w:pPr>
    </w:p>
    <w:p w14:paraId="66419EC4">
      <w:pPr>
        <w:keepNext/>
        <w:keepLines/>
        <w:spacing w:before="120" w:after="120" w:line="360" w:lineRule="auto"/>
        <w:jc w:val="left"/>
        <w:outlineLvl w:val="2"/>
        <w:rPr>
          <w:rFonts w:ascii="黑体" w:hAnsi="黑体" w:eastAsia="黑体"/>
          <w:bCs/>
          <w:color w:val="auto"/>
          <w:sz w:val="24"/>
          <w:highlight w:val="none"/>
        </w:rPr>
      </w:pPr>
    </w:p>
    <w:p w14:paraId="234838B0">
      <w:pPr>
        <w:wordWrap w:val="0"/>
        <w:spacing w:before="120" w:line="440" w:lineRule="exact"/>
        <w:ind w:left="960"/>
        <w:jc w:val="left"/>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lang w:eastAsia="zh-CN"/>
        </w:rPr>
        <w:t>猎头服务机构遴选</w:t>
      </w:r>
    </w:p>
    <w:p w14:paraId="157EA7FD">
      <w:pPr>
        <w:wordWrap w:val="0"/>
        <w:spacing w:before="120" w:line="440" w:lineRule="exact"/>
        <w:ind w:left="960"/>
        <w:jc w:val="left"/>
        <w:rPr>
          <w:rFonts w:hint="eastAsia" w:ascii="宋体" w:hAnsi="宋体" w:eastAsia="宋体"/>
          <w:color w:val="auto"/>
          <w:sz w:val="24"/>
          <w:highlight w:val="none"/>
          <w:lang w:eastAsia="zh-CN"/>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lang w:eastAsia="zh-CN"/>
        </w:rPr>
        <w:t>ZB202606094</w:t>
      </w:r>
    </w:p>
    <w:p w14:paraId="786BEC5F">
      <w:pPr>
        <w:wordWrap w:val="0"/>
        <w:spacing w:before="120" w:line="440" w:lineRule="exact"/>
        <w:ind w:left="960"/>
        <w:jc w:val="left"/>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合肥综合性国家科学中心大健康研究院</w:t>
      </w:r>
    </w:p>
    <w:p w14:paraId="2C539124">
      <w:pPr>
        <w:wordWrap w:val="0"/>
        <w:spacing w:before="120" w:line="440" w:lineRule="exact"/>
        <w:ind w:left="960"/>
        <w:jc w:val="left"/>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889E10">
      <w:pPr>
        <w:wordWrap w:val="0"/>
        <w:spacing w:before="120" w:line="440" w:lineRule="exact"/>
        <w:ind w:firstLine="960" w:firstLineChars="400"/>
        <w:jc w:val="left"/>
        <w:rPr>
          <w:rFonts w:ascii="宋体" w:hAnsi="宋体" w:eastAsia="宋体"/>
          <w:color w:val="auto"/>
          <w:sz w:val="24"/>
          <w:highlight w:val="none"/>
          <w:u w:val="singl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65520726">
      <w:pPr>
        <w:wordWrap w:val="0"/>
        <w:spacing w:before="120" w:line="440" w:lineRule="exact"/>
        <w:ind w:firstLine="960" w:firstLineChars="400"/>
        <w:jc w:val="left"/>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6D36ACB3">
      <w:pPr>
        <w:widowControl/>
        <w:wordWrap w:val="0"/>
        <w:spacing w:line="440" w:lineRule="exact"/>
        <w:jc w:val="left"/>
        <w:rPr>
          <w:rFonts w:ascii="宋体" w:hAnsi="宋体" w:eastAsia="宋体"/>
          <w:color w:val="auto"/>
          <w:sz w:val="24"/>
          <w:highlight w:val="none"/>
        </w:rPr>
      </w:pPr>
      <w:r>
        <w:rPr>
          <w:rFonts w:ascii="宋体" w:hAnsi="宋体" w:eastAsia="宋体"/>
          <w:color w:val="auto"/>
          <w:sz w:val="24"/>
          <w:highlight w:val="none"/>
        </w:rPr>
        <w:br w:type="page"/>
      </w:r>
    </w:p>
    <w:p w14:paraId="6C62DC0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u w:val="single"/>
        </w:rPr>
        <w:t>合肥综合性国家科学中心大健康研究院</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鼎信数智技术集团股份有限公司</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磋商</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磋商小组</w:t>
      </w:r>
      <w:r>
        <w:rPr>
          <w:rFonts w:hint="eastAsia" w:ascii="宋体" w:hAnsi="宋体" w:eastAsia="宋体"/>
          <w:color w:val="auto"/>
          <w:sz w:val="24"/>
          <w:highlight w:val="none"/>
        </w:rPr>
        <w:t>评定，</w:t>
      </w:r>
      <w:r>
        <w:rPr>
          <w:rFonts w:hint="eastAsia" w:ascii="宋体" w:hAnsi="宋体" w:eastAsia="宋体"/>
          <w:i/>
          <w:iCs/>
          <w:color w:val="auto"/>
          <w:sz w:val="24"/>
          <w:highlight w:val="none"/>
          <w:u w:val="single"/>
        </w:rPr>
        <w:t>（成交供应商名称）</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3E134033">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根据《中华人民共和国民法典》等相关法律法规之规定，按照平等、自愿、公平和诚实信用的原则，经甲方和乙方协商一致，约定以下合同条款，以兹共同遵守、全面履行。</w:t>
      </w:r>
    </w:p>
    <w:p w14:paraId="498BD783">
      <w:pPr>
        <w:wordWrap w:val="0"/>
        <w:spacing w:line="440" w:lineRule="exact"/>
        <w:ind w:firstLine="437"/>
        <w:jc w:val="left"/>
        <w:outlineLvl w:val="3"/>
        <w:rPr>
          <w:rFonts w:ascii="宋体" w:hAnsi="宋体" w:eastAsia="宋体"/>
          <w:b/>
          <w:bCs/>
          <w:color w:val="auto"/>
          <w:sz w:val="24"/>
          <w:highlight w:val="none"/>
          <w:lang w:val="zh-CN"/>
        </w:rPr>
      </w:pPr>
      <w:bookmarkStart w:id="18" w:name="_Toc24059"/>
      <w:bookmarkStart w:id="19" w:name="_Toc2232"/>
      <w:bookmarkStart w:id="20" w:name="_Toc302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18"/>
      <w:bookmarkEnd w:id="19"/>
      <w:bookmarkEnd w:id="20"/>
    </w:p>
    <w:p w14:paraId="2392291E">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3C4D46C">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3643FBBD">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2783517E">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496E76FC">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1.1.4磋商文件（含澄清或者修改文件）；</w:t>
      </w:r>
    </w:p>
    <w:p w14:paraId="1B347F21">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2B555A85">
      <w:pPr>
        <w:wordWrap w:val="0"/>
        <w:spacing w:line="440" w:lineRule="exact"/>
        <w:ind w:firstLine="437"/>
        <w:jc w:val="left"/>
        <w:outlineLvl w:val="3"/>
        <w:rPr>
          <w:rFonts w:ascii="宋体" w:hAnsi="宋体" w:eastAsia="宋体"/>
          <w:b/>
          <w:bCs/>
          <w:color w:val="auto"/>
          <w:sz w:val="24"/>
          <w:highlight w:val="none"/>
          <w:lang w:val="zh-CN"/>
        </w:rPr>
      </w:pPr>
      <w:bookmarkStart w:id="21" w:name="_Toc6311"/>
      <w:bookmarkStart w:id="22" w:name="_Toc18585"/>
      <w:bookmarkStart w:id="23" w:name="_Toc2918"/>
      <w:bookmarkStart w:id="24" w:name="_Toc6773"/>
      <w:bookmarkStart w:id="25" w:name="_Toc22185"/>
      <w:r>
        <w:rPr>
          <w:rFonts w:hint="eastAsia" w:ascii="宋体" w:hAnsi="宋体" w:eastAsia="宋体"/>
          <w:b/>
          <w:bCs/>
          <w:color w:val="auto"/>
          <w:sz w:val="24"/>
          <w:highlight w:val="none"/>
          <w:lang w:val="zh-CN"/>
        </w:rPr>
        <w:t xml:space="preserve">1.2 </w:t>
      </w:r>
      <w:bookmarkEnd w:id="21"/>
      <w:bookmarkEnd w:id="22"/>
      <w:bookmarkEnd w:id="23"/>
      <w:bookmarkEnd w:id="24"/>
      <w:bookmarkEnd w:id="25"/>
      <w:r>
        <w:rPr>
          <w:rFonts w:hint="eastAsia" w:ascii="宋体" w:hAnsi="宋体" w:eastAsia="宋体"/>
          <w:b/>
          <w:bCs/>
          <w:color w:val="auto"/>
          <w:sz w:val="24"/>
          <w:highlight w:val="none"/>
          <w:lang w:val="zh-CN"/>
        </w:rPr>
        <w:t>服务</w:t>
      </w:r>
    </w:p>
    <w:p w14:paraId="650B7753">
      <w:pPr>
        <w:wordWrap w:val="0"/>
        <w:spacing w:line="440" w:lineRule="exact"/>
        <w:ind w:firstLine="435"/>
        <w:jc w:val="left"/>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44B0CD8">
      <w:pPr>
        <w:wordWrap w:val="0"/>
        <w:spacing w:line="440" w:lineRule="exact"/>
        <w:ind w:firstLine="435"/>
        <w:jc w:val="left"/>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46938E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82463C3">
      <w:pPr>
        <w:wordWrap w:val="0"/>
        <w:spacing w:line="440" w:lineRule="exact"/>
        <w:ind w:firstLine="437"/>
        <w:jc w:val="left"/>
        <w:outlineLvl w:val="3"/>
        <w:rPr>
          <w:rFonts w:ascii="宋体" w:hAnsi="宋体" w:eastAsia="宋体"/>
          <w:b/>
          <w:bCs/>
          <w:color w:val="auto"/>
          <w:sz w:val="24"/>
          <w:highlight w:val="none"/>
          <w:lang w:val="zh-CN"/>
        </w:rPr>
      </w:pPr>
      <w:bookmarkStart w:id="26" w:name="_Toc21551"/>
      <w:bookmarkStart w:id="27" w:name="_Toc23292"/>
      <w:bookmarkStart w:id="28" w:name="_Toc2163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26"/>
      <w:bookmarkEnd w:id="27"/>
      <w:bookmarkEnd w:id="28"/>
    </w:p>
    <w:p w14:paraId="7B6EA7BC">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1E5C1FD2">
      <w:pPr>
        <w:wordWrap w:val="0"/>
        <w:spacing w:line="440" w:lineRule="exact"/>
        <w:ind w:firstLine="435"/>
        <w:jc w:val="left"/>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359"/>
        <w:gridCol w:w="12"/>
        <w:gridCol w:w="3265"/>
        <w:gridCol w:w="12"/>
      </w:tblGrid>
      <w:tr w14:paraId="4EB6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vAlign w:val="center"/>
          </w:tcPr>
          <w:p w14:paraId="41DB1A36">
            <w:pPr>
              <w:wordWrap w:val="0"/>
              <w:spacing w:line="440" w:lineRule="exact"/>
              <w:jc w:val="left"/>
              <w:rPr>
                <w:rFonts w:ascii="宋体" w:hAnsi="宋体" w:eastAsia="宋体"/>
                <w:color w:val="auto"/>
                <w:sz w:val="24"/>
                <w:highlight w:val="none"/>
                <w:lang w:val="zh-CN"/>
              </w:rPr>
            </w:pPr>
            <w:r>
              <w:rPr>
                <w:rFonts w:ascii="宋体" w:hAnsi="宋体" w:eastAsia="宋体"/>
                <w:color w:val="auto"/>
                <w:sz w:val="24"/>
                <w:highlight w:val="none"/>
                <w:lang w:val="zh-CN"/>
              </w:rPr>
              <w:t>序号</w:t>
            </w:r>
          </w:p>
        </w:tc>
        <w:tc>
          <w:tcPr>
            <w:tcW w:w="4363" w:type="dxa"/>
            <w:vAlign w:val="center"/>
          </w:tcPr>
          <w:p w14:paraId="4EE55EBE">
            <w:pPr>
              <w:wordWrap w:val="0"/>
              <w:spacing w:line="440" w:lineRule="exact"/>
              <w:ind w:firstLine="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72" w:type="dxa"/>
            <w:gridSpan w:val="2"/>
            <w:vAlign w:val="center"/>
          </w:tcPr>
          <w:p w14:paraId="01B3C939">
            <w:pPr>
              <w:wordWrap w:val="0"/>
              <w:spacing w:line="440" w:lineRule="exact"/>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分项价格</w:t>
            </w:r>
          </w:p>
        </w:tc>
      </w:tr>
      <w:tr w14:paraId="6328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569AC6F3">
            <w:pPr>
              <w:wordWrap w:val="0"/>
              <w:spacing w:line="440" w:lineRule="exact"/>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4363" w:type="dxa"/>
            <w:vAlign w:val="center"/>
          </w:tcPr>
          <w:p w14:paraId="288D5659">
            <w:pPr>
              <w:wordWrap w:val="0"/>
              <w:spacing w:line="440" w:lineRule="exact"/>
              <w:ind w:firstLine="200"/>
              <w:jc w:val="left"/>
              <w:rPr>
                <w:rFonts w:ascii="宋体" w:hAnsi="宋体" w:eastAsia="宋体" w:cs="Times New Roman"/>
                <w:color w:val="auto"/>
                <w:sz w:val="24"/>
                <w:szCs w:val="24"/>
                <w:highlight w:val="none"/>
              </w:rPr>
            </w:pPr>
          </w:p>
        </w:tc>
        <w:tc>
          <w:tcPr>
            <w:tcW w:w="3272" w:type="dxa"/>
            <w:gridSpan w:val="2"/>
            <w:vAlign w:val="center"/>
          </w:tcPr>
          <w:p w14:paraId="20B11F6C">
            <w:pPr>
              <w:wordWrap w:val="0"/>
              <w:spacing w:line="440" w:lineRule="exact"/>
              <w:ind w:firstLine="200"/>
              <w:jc w:val="left"/>
              <w:rPr>
                <w:rFonts w:ascii="宋体" w:hAnsi="宋体" w:eastAsia="宋体" w:cs="Times New Roman"/>
                <w:color w:val="auto"/>
                <w:sz w:val="24"/>
                <w:szCs w:val="24"/>
                <w:highlight w:val="none"/>
              </w:rPr>
            </w:pPr>
          </w:p>
        </w:tc>
      </w:tr>
      <w:tr w14:paraId="2C8D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017F3915">
            <w:pPr>
              <w:wordWrap w:val="0"/>
              <w:spacing w:line="440" w:lineRule="exact"/>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4363" w:type="dxa"/>
            <w:vAlign w:val="center"/>
          </w:tcPr>
          <w:p w14:paraId="2F606FF6">
            <w:pPr>
              <w:wordWrap w:val="0"/>
              <w:spacing w:line="440" w:lineRule="exact"/>
              <w:ind w:firstLine="200"/>
              <w:jc w:val="left"/>
              <w:rPr>
                <w:rFonts w:ascii="宋体" w:hAnsi="宋体" w:eastAsia="宋体" w:cs="Times New Roman"/>
                <w:color w:val="auto"/>
                <w:sz w:val="24"/>
                <w:szCs w:val="24"/>
                <w:highlight w:val="none"/>
              </w:rPr>
            </w:pPr>
          </w:p>
        </w:tc>
        <w:tc>
          <w:tcPr>
            <w:tcW w:w="3272" w:type="dxa"/>
            <w:gridSpan w:val="2"/>
            <w:vAlign w:val="center"/>
          </w:tcPr>
          <w:p w14:paraId="2ABF0BF3">
            <w:pPr>
              <w:wordWrap w:val="0"/>
              <w:spacing w:line="440" w:lineRule="exact"/>
              <w:ind w:firstLine="200"/>
              <w:jc w:val="left"/>
              <w:rPr>
                <w:rFonts w:ascii="宋体" w:hAnsi="宋体" w:eastAsia="宋体" w:cs="Times New Roman"/>
                <w:color w:val="auto"/>
                <w:sz w:val="24"/>
                <w:szCs w:val="24"/>
                <w:highlight w:val="none"/>
              </w:rPr>
            </w:pPr>
          </w:p>
        </w:tc>
      </w:tr>
      <w:tr w14:paraId="75AE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5E52D62A">
            <w:pPr>
              <w:wordWrap w:val="0"/>
              <w:spacing w:line="440" w:lineRule="exact"/>
              <w:jc w:val="left"/>
              <w:rPr>
                <w:rFonts w:ascii="宋体" w:hAnsi="宋体" w:eastAsia="宋体"/>
                <w:color w:val="auto"/>
                <w:sz w:val="24"/>
                <w:highlight w:val="none"/>
                <w:lang w:val="zh-CN"/>
              </w:rPr>
            </w:pPr>
            <w:r>
              <w:rPr>
                <w:rFonts w:ascii="宋体" w:hAnsi="宋体" w:eastAsia="宋体"/>
                <w:color w:val="auto"/>
                <w:sz w:val="24"/>
                <w:highlight w:val="none"/>
                <w:lang w:val="zh-CN"/>
              </w:rPr>
              <w:t>3</w:t>
            </w:r>
          </w:p>
        </w:tc>
        <w:tc>
          <w:tcPr>
            <w:tcW w:w="4363" w:type="dxa"/>
            <w:vAlign w:val="center"/>
          </w:tcPr>
          <w:p w14:paraId="2A606284">
            <w:pPr>
              <w:wordWrap w:val="0"/>
              <w:spacing w:line="440" w:lineRule="exact"/>
              <w:ind w:firstLine="200"/>
              <w:jc w:val="left"/>
              <w:rPr>
                <w:rFonts w:ascii="宋体" w:hAnsi="宋体" w:eastAsia="宋体" w:cs="Times New Roman"/>
                <w:color w:val="auto"/>
                <w:sz w:val="24"/>
                <w:szCs w:val="24"/>
                <w:highlight w:val="none"/>
              </w:rPr>
            </w:pPr>
          </w:p>
        </w:tc>
        <w:tc>
          <w:tcPr>
            <w:tcW w:w="3272" w:type="dxa"/>
            <w:gridSpan w:val="2"/>
            <w:vAlign w:val="center"/>
          </w:tcPr>
          <w:p w14:paraId="06E18DF5">
            <w:pPr>
              <w:wordWrap w:val="0"/>
              <w:spacing w:line="440" w:lineRule="exact"/>
              <w:ind w:firstLine="200"/>
              <w:jc w:val="left"/>
              <w:rPr>
                <w:rFonts w:ascii="宋体" w:hAnsi="宋体" w:eastAsia="宋体" w:cs="Times New Roman"/>
                <w:color w:val="auto"/>
                <w:sz w:val="24"/>
                <w:szCs w:val="24"/>
                <w:highlight w:val="none"/>
              </w:rPr>
            </w:pPr>
          </w:p>
        </w:tc>
      </w:tr>
      <w:tr w14:paraId="6D17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4B1A4C87">
            <w:pPr>
              <w:wordWrap w:val="0"/>
              <w:spacing w:line="440" w:lineRule="exact"/>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4363" w:type="dxa"/>
            <w:vAlign w:val="center"/>
          </w:tcPr>
          <w:p w14:paraId="01D596F8">
            <w:pPr>
              <w:wordWrap w:val="0"/>
              <w:spacing w:line="440" w:lineRule="exact"/>
              <w:ind w:firstLine="200"/>
              <w:jc w:val="left"/>
              <w:rPr>
                <w:rFonts w:ascii="宋体" w:hAnsi="宋体" w:eastAsia="宋体" w:cs="Times New Roman"/>
                <w:color w:val="auto"/>
                <w:sz w:val="24"/>
                <w:szCs w:val="24"/>
                <w:highlight w:val="none"/>
              </w:rPr>
            </w:pPr>
          </w:p>
        </w:tc>
        <w:tc>
          <w:tcPr>
            <w:tcW w:w="3272" w:type="dxa"/>
            <w:gridSpan w:val="2"/>
            <w:vAlign w:val="center"/>
          </w:tcPr>
          <w:p w14:paraId="3D1648E4">
            <w:pPr>
              <w:wordWrap w:val="0"/>
              <w:spacing w:line="440" w:lineRule="exact"/>
              <w:ind w:firstLine="200"/>
              <w:jc w:val="left"/>
              <w:rPr>
                <w:rFonts w:ascii="宋体" w:hAnsi="宋体" w:eastAsia="宋体" w:cs="Times New Roman"/>
                <w:color w:val="auto"/>
                <w:sz w:val="24"/>
                <w:szCs w:val="24"/>
                <w:highlight w:val="none"/>
              </w:rPr>
            </w:pPr>
          </w:p>
        </w:tc>
      </w:tr>
      <w:tr w14:paraId="3CAB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343" w:type="dxa"/>
            <w:gridSpan w:val="3"/>
            <w:vAlign w:val="center"/>
          </w:tcPr>
          <w:p w14:paraId="52E5CE81">
            <w:pPr>
              <w:wordWrap w:val="0"/>
              <w:spacing w:line="440" w:lineRule="exact"/>
              <w:ind w:firstLine="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73" w:type="dxa"/>
            <w:gridSpan w:val="2"/>
            <w:vAlign w:val="center"/>
          </w:tcPr>
          <w:p w14:paraId="7D7AB0FD">
            <w:pPr>
              <w:wordWrap w:val="0"/>
              <w:spacing w:line="440" w:lineRule="exact"/>
              <w:ind w:firstLine="200"/>
              <w:jc w:val="left"/>
              <w:rPr>
                <w:rFonts w:ascii="宋体" w:hAnsi="宋体" w:eastAsia="宋体" w:cs="Times New Roman"/>
                <w:color w:val="auto"/>
                <w:sz w:val="24"/>
                <w:szCs w:val="24"/>
                <w:highlight w:val="none"/>
              </w:rPr>
            </w:pPr>
          </w:p>
        </w:tc>
      </w:tr>
    </w:tbl>
    <w:p w14:paraId="561F4262">
      <w:pPr>
        <w:wordWrap w:val="0"/>
        <w:spacing w:line="440" w:lineRule="exact"/>
        <w:ind w:firstLine="437"/>
        <w:jc w:val="left"/>
        <w:outlineLvl w:val="3"/>
        <w:rPr>
          <w:rFonts w:ascii="宋体" w:hAnsi="宋体" w:eastAsia="宋体"/>
          <w:b/>
          <w:bCs/>
          <w:color w:val="auto"/>
          <w:sz w:val="24"/>
          <w:highlight w:val="none"/>
          <w:lang w:val="zh-CN"/>
        </w:rPr>
      </w:pPr>
      <w:bookmarkStart w:id="29" w:name="_Toc22618"/>
      <w:bookmarkStart w:id="30" w:name="_Toc1814"/>
      <w:bookmarkStart w:id="31" w:name="_Toc10340"/>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收费模式</w:t>
      </w:r>
      <w:r>
        <w:rPr>
          <w:rFonts w:ascii="宋体" w:hAnsi="宋体" w:eastAsia="宋体"/>
          <w:b/>
          <w:bCs/>
          <w:color w:val="auto"/>
          <w:sz w:val="24"/>
          <w:highlight w:val="none"/>
          <w:lang w:val="zh-CN"/>
        </w:rPr>
        <w:t>和发票开具方式</w:t>
      </w:r>
      <w:bookmarkEnd w:id="29"/>
      <w:bookmarkEnd w:id="30"/>
      <w:bookmarkEnd w:id="31"/>
    </w:p>
    <w:p w14:paraId="493B467F">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1.4.1</w:t>
      </w:r>
      <w:r>
        <w:rPr>
          <w:rFonts w:hint="eastAsia" w:ascii="宋体" w:hAnsi="宋体" w:eastAsia="宋体"/>
          <w:color w:val="auto"/>
          <w:sz w:val="24"/>
          <w:highlight w:val="none"/>
          <w:lang w:eastAsia="zh-CN"/>
        </w:rPr>
        <w:t>收费模式</w:t>
      </w:r>
      <w:r>
        <w:rPr>
          <w:rFonts w:ascii="宋体" w:hAnsi="宋体" w:eastAsia="宋体"/>
          <w:color w:val="auto"/>
          <w:sz w:val="24"/>
          <w:highlight w:val="none"/>
        </w:rPr>
        <w:t>：</w:t>
      </w:r>
      <w:r>
        <w:rPr>
          <w:rFonts w:hint="eastAsia" w:ascii="宋体" w:hAnsi="宋体" w:eastAsia="宋体"/>
          <w:color w:val="auto"/>
          <w:sz w:val="24"/>
          <w:highlight w:val="none"/>
          <w:lang w:eastAsia="zh-CN"/>
        </w:rPr>
        <w:t>本项目不设预付款，服务费按候选人录用年薪比例收取，收费比例上限为25%，具体收费比例以供应商最终响应报价为准。</w:t>
      </w:r>
    </w:p>
    <w:p w14:paraId="483FA8C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s="宋体"/>
          <w:bCs/>
          <w:color w:val="auto"/>
          <w:kern w:val="0"/>
          <w:sz w:val="24"/>
          <w:szCs w:val="24"/>
          <w:highlight w:val="none"/>
        </w:rPr>
        <w:t>付款前成交供应商须提供等额正规发票，否则不予支付。</w:t>
      </w:r>
    </w:p>
    <w:p w14:paraId="396ACEF8">
      <w:pPr>
        <w:wordWrap w:val="0"/>
        <w:spacing w:line="440" w:lineRule="exact"/>
        <w:ind w:firstLine="437"/>
        <w:jc w:val="left"/>
        <w:outlineLvl w:val="3"/>
        <w:rPr>
          <w:rFonts w:ascii="宋体" w:hAnsi="宋体" w:eastAsia="宋体"/>
          <w:b/>
          <w:bCs/>
          <w:color w:val="auto"/>
          <w:sz w:val="24"/>
          <w:highlight w:val="none"/>
          <w:lang w:val="zh-CN"/>
        </w:rPr>
      </w:pPr>
      <w:bookmarkStart w:id="32" w:name="_Toc2846"/>
      <w:bookmarkStart w:id="33" w:name="_Toc19304"/>
      <w:bookmarkStart w:id="34" w:name="_Toc3207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32"/>
      <w:bookmarkEnd w:id="33"/>
      <w:bookmarkEnd w:id="34"/>
    </w:p>
    <w:p w14:paraId="41D8D59F">
      <w:pPr>
        <w:wordWrap w:val="0"/>
        <w:spacing w:line="440" w:lineRule="exact"/>
        <w:ind w:firstLine="435"/>
        <w:jc w:val="left"/>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612857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6998296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90FCDAE">
      <w:pPr>
        <w:wordWrap w:val="0"/>
        <w:spacing w:line="440" w:lineRule="exact"/>
        <w:ind w:firstLine="437"/>
        <w:jc w:val="left"/>
        <w:outlineLvl w:val="3"/>
        <w:rPr>
          <w:rFonts w:ascii="宋体" w:hAnsi="宋体" w:eastAsia="宋体"/>
          <w:b/>
          <w:bCs/>
          <w:color w:val="auto"/>
          <w:sz w:val="24"/>
          <w:highlight w:val="none"/>
          <w:lang w:val="zh-CN"/>
        </w:rPr>
      </w:pPr>
      <w:bookmarkStart w:id="35" w:name="_Toc27250"/>
      <w:bookmarkStart w:id="36" w:name="_Toc21423"/>
      <w:bookmarkStart w:id="37" w:name="_Toc19554"/>
      <w:r>
        <w:rPr>
          <w:rFonts w:hint="eastAsia" w:ascii="宋体" w:hAnsi="宋体" w:eastAsia="宋体"/>
          <w:b/>
          <w:bCs/>
          <w:color w:val="auto"/>
          <w:sz w:val="24"/>
          <w:highlight w:val="none"/>
          <w:lang w:val="zh-CN"/>
        </w:rPr>
        <w:t>1.6 违约责任</w:t>
      </w:r>
      <w:bookmarkEnd w:id="35"/>
      <w:bookmarkEnd w:id="36"/>
      <w:bookmarkEnd w:id="37"/>
    </w:p>
    <w:p w14:paraId="669FD8D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08A53F8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1.6.2</w:t>
      </w:r>
      <w:r>
        <w:rPr>
          <w:rFonts w:ascii="宋体" w:hAnsi="宋体" w:eastAsia="宋体"/>
          <w:color w:val="auto"/>
          <w:sz w:val="24"/>
          <w:highlight w:val="none"/>
        </w:rPr>
        <w:t>除不可抗力外，如果甲方没有按照本合同约定的</w:t>
      </w:r>
      <w:r>
        <w:rPr>
          <w:rFonts w:hint="eastAsia" w:ascii="宋体" w:hAnsi="宋体" w:eastAsia="宋体"/>
          <w:color w:val="auto"/>
          <w:sz w:val="24"/>
          <w:highlight w:val="none"/>
          <w:lang w:eastAsia="zh-CN"/>
        </w:rPr>
        <w:t>收费模式</w:t>
      </w:r>
      <w:r>
        <w:rPr>
          <w:rFonts w:ascii="宋体" w:hAnsi="宋体" w:eastAsia="宋体"/>
          <w:color w:val="auto"/>
          <w:sz w:val="24"/>
          <w:highlight w:val="none"/>
        </w:rPr>
        <w:t>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1EE53D5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5DEE47">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579DA15">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A7FF04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1.6.6如果出现采购监督管理部门在处理投诉事项期间，书面通知甲方暂停采购活动的情形，或者询问或质疑事项可能影响成交结果的，导致甲方中止履行合同的情形，均不视为甲方违约。</w:t>
      </w:r>
    </w:p>
    <w:p w14:paraId="22CE95A0">
      <w:pPr>
        <w:wordWrap w:val="0"/>
        <w:spacing w:line="440" w:lineRule="exact"/>
        <w:ind w:firstLine="437"/>
        <w:jc w:val="left"/>
        <w:outlineLvl w:val="3"/>
        <w:rPr>
          <w:rFonts w:ascii="宋体" w:hAnsi="宋体" w:eastAsia="宋体"/>
          <w:b/>
          <w:bCs/>
          <w:color w:val="auto"/>
          <w:sz w:val="24"/>
          <w:highlight w:val="none"/>
          <w:lang w:val="zh-CN"/>
        </w:rPr>
      </w:pPr>
      <w:bookmarkStart w:id="38" w:name="_Toc16021"/>
      <w:bookmarkStart w:id="39" w:name="_Toc28375"/>
      <w:bookmarkStart w:id="40" w:name="_Toc15583"/>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38"/>
      <w:bookmarkEnd w:id="39"/>
      <w:bookmarkEnd w:id="40"/>
    </w:p>
    <w:p w14:paraId="4B06314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148BDF9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1.7.1将争议提交</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281058E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2B826C68">
      <w:pPr>
        <w:wordWrap w:val="0"/>
        <w:spacing w:line="440" w:lineRule="exact"/>
        <w:ind w:firstLine="437"/>
        <w:jc w:val="left"/>
        <w:outlineLvl w:val="3"/>
        <w:rPr>
          <w:rFonts w:ascii="宋体" w:hAnsi="宋体" w:eastAsia="宋体"/>
          <w:b/>
          <w:bCs/>
          <w:color w:val="auto"/>
          <w:sz w:val="24"/>
          <w:highlight w:val="none"/>
          <w:lang w:val="zh-CN"/>
        </w:rPr>
      </w:pPr>
      <w:bookmarkStart w:id="41" w:name="_Toc11173"/>
      <w:bookmarkStart w:id="42" w:name="_Toc15322"/>
      <w:bookmarkStart w:id="43" w:name="_Toc7245"/>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41"/>
      <w:bookmarkEnd w:id="42"/>
      <w:bookmarkEnd w:id="43"/>
    </w:p>
    <w:p w14:paraId="22406F6B">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622CAA1A">
      <w:pPr>
        <w:wordWrap w:val="0"/>
        <w:autoSpaceDE w:val="0"/>
        <w:autoSpaceDN w:val="0"/>
        <w:adjustRightInd w:val="0"/>
        <w:spacing w:line="440" w:lineRule="exact"/>
        <w:jc w:val="left"/>
        <w:rPr>
          <w:rFonts w:ascii="宋体" w:hAnsi="宋体" w:eastAsia="宋体"/>
          <w:color w:val="auto"/>
          <w:sz w:val="24"/>
          <w:highlight w:val="none"/>
          <w:lang w:val="zh-CN"/>
        </w:rPr>
      </w:pPr>
    </w:p>
    <w:p w14:paraId="45138DC0">
      <w:pPr>
        <w:wordWrap w:val="0"/>
        <w:autoSpaceDE w:val="0"/>
        <w:autoSpaceDN w:val="0"/>
        <w:adjustRightInd w:val="0"/>
        <w:spacing w:line="440" w:lineRule="exact"/>
        <w:jc w:val="left"/>
        <w:rPr>
          <w:rFonts w:ascii="宋体" w:hAnsi="宋体" w:eastAsia="宋体"/>
          <w:color w:val="auto"/>
          <w:sz w:val="24"/>
          <w:highlight w:val="none"/>
          <w:lang w:val="zh-CN"/>
        </w:rPr>
      </w:pPr>
    </w:p>
    <w:p w14:paraId="4C758378">
      <w:pPr>
        <w:wordWrap w:val="0"/>
        <w:autoSpaceDE w:val="0"/>
        <w:autoSpaceDN w:val="0"/>
        <w:adjustRightInd w:val="0"/>
        <w:spacing w:line="440" w:lineRule="exact"/>
        <w:jc w:val="left"/>
        <w:rPr>
          <w:rFonts w:ascii="宋体" w:hAnsi="宋体" w:eastAsia="宋体"/>
          <w:color w:val="auto"/>
          <w:sz w:val="24"/>
          <w:highlight w:val="none"/>
          <w:lang w:val="zh-CN"/>
        </w:rPr>
      </w:pPr>
    </w:p>
    <w:p w14:paraId="44D3760A">
      <w:pPr>
        <w:wordWrap w:val="0"/>
        <w:autoSpaceDE w:val="0"/>
        <w:autoSpaceDN w:val="0"/>
        <w:adjustRightInd w:val="0"/>
        <w:spacing w:line="440" w:lineRule="exact"/>
        <w:jc w:val="left"/>
        <w:rPr>
          <w:rFonts w:ascii="宋体" w:hAnsi="宋体" w:eastAsia="宋体"/>
          <w:bCs/>
          <w:color w:val="auto"/>
          <w:sz w:val="24"/>
          <w:highlight w:val="none"/>
          <w:lang w:val="zh-CN"/>
        </w:rPr>
      </w:pPr>
      <w:r>
        <w:rPr>
          <w:rFonts w:hint="eastAsia" w:ascii="宋体" w:hAnsi="宋体" w:eastAsia="宋体"/>
          <w:bCs/>
          <w:color w:val="auto"/>
          <w:sz w:val="24"/>
          <w:highlight w:val="none"/>
          <w:lang w:val="zh-CN"/>
        </w:rPr>
        <w:t xml:space="preserve">甲 </w:t>
      </w:r>
      <w:r>
        <w:rPr>
          <w:rFonts w:ascii="宋体" w:hAnsi="宋体" w:eastAsia="宋体"/>
          <w:bCs/>
          <w:color w:val="auto"/>
          <w:sz w:val="24"/>
          <w:highlight w:val="none"/>
          <w:lang w:val="zh-CN"/>
        </w:rPr>
        <w:t xml:space="preserve">   </w:t>
      </w:r>
      <w:r>
        <w:rPr>
          <w:rFonts w:hint="eastAsia" w:ascii="宋体" w:hAnsi="宋体" w:eastAsia="宋体"/>
          <w:bCs/>
          <w:color w:val="auto"/>
          <w:sz w:val="24"/>
          <w:highlight w:val="none"/>
          <w:lang w:val="zh-CN"/>
        </w:rPr>
        <w:t>方：</w:t>
      </w:r>
      <w:r>
        <w:rPr>
          <w:rFonts w:hint="eastAsia" w:ascii="宋体" w:hAnsi="宋体" w:eastAsia="宋体"/>
          <w:bCs/>
          <w:color w:val="auto"/>
          <w:sz w:val="24"/>
          <w:highlight w:val="none"/>
          <w:u w:val="single"/>
          <w:lang w:val="zh-CN"/>
        </w:rPr>
        <w:t xml:space="preserve">    （单位盖章）     </w:t>
      </w:r>
      <w:r>
        <w:rPr>
          <w:rFonts w:hint="eastAsia" w:ascii="宋体" w:hAnsi="宋体" w:eastAsia="宋体"/>
          <w:bCs/>
          <w:color w:val="auto"/>
          <w:sz w:val="24"/>
          <w:highlight w:val="none"/>
          <w:lang w:val="zh-CN"/>
        </w:rPr>
        <w:t xml:space="preserve">          乙方：</w:t>
      </w:r>
      <w:r>
        <w:rPr>
          <w:rFonts w:hint="eastAsia" w:ascii="宋体" w:hAnsi="宋体" w:eastAsia="宋体"/>
          <w:bCs/>
          <w:color w:val="auto"/>
          <w:sz w:val="24"/>
          <w:highlight w:val="none"/>
          <w:u w:val="single"/>
          <w:lang w:val="zh-CN"/>
        </w:rPr>
        <w:t xml:space="preserve">    （单位盖章）     </w:t>
      </w:r>
    </w:p>
    <w:p w14:paraId="018322CA">
      <w:pPr>
        <w:wordWrap w:val="0"/>
        <w:autoSpaceDE w:val="0"/>
        <w:autoSpaceDN w:val="0"/>
        <w:adjustRightInd w:val="0"/>
        <w:spacing w:line="440" w:lineRule="exact"/>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 xml:space="preserve">法定代表人                             </w:t>
      </w:r>
      <w:r>
        <w:rPr>
          <w:rFonts w:ascii="宋体" w:hAnsi="宋体" w:eastAsia="宋体"/>
          <w:color w:val="auto"/>
          <w:sz w:val="24"/>
          <w:highlight w:val="none"/>
          <w:lang w:val="zh-CN"/>
        </w:rPr>
        <w:t xml:space="preserve">  </w:t>
      </w:r>
      <w:r>
        <w:rPr>
          <w:rFonts w:hint="eastAsia" w:ascii="宋体" w:hAnsi="宋体" w:eastAsia="宋体"/>
          <w:color w:val="auto"/>
          <w:sz w:val="24"/>
          <w:highlight w:val="none"/>
          <w:lang w:val="zh-CN"/>
        </w:rPr>
        <w:t>法定代表人</w:t>
      </w:r>
    </w:p>
    <w:p w14:paraId="49A3135E">
      <w:pPr>
        <w:wordWrap w:val="0"/>
        <w:autoSpaceDE w:val="0"/>
        <w:autoSpaceDN w:val="0"/>
        <w:adjustRightInd w:val="0"/>
        <w:spacing w:line="440" w:lineRule="exact"/>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或授权代表（签字）：                      或授权代表（签字）：</w:t>
      </w:r>
    </w:p>
    <w:p w14:paraId="17CC57A8">
      <w:pPr>
        <w:widowControl/>
        <w:wordWrap w:val="0"/>
        <w:spacing w:line="440" w:lineRule="exact"/>
        <w:jc w:val="left"/>
        <w:rPr>
          <w:rFonts w:ascii="宋体" w:hAnsi="宋体" w:eastAsia="宋体"/>
          <w:bCs/>
          <w:color w:val="auto"/>
          <w:sz w:val="24"/>
          <w:highlight w:val="none"/>
        </w:rPr>
      </w:pPr>
      <w:bookmarkStart w:id="44" w:name="_Toc331685783"/>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日               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p>
    <w:p w14:paraId="113E7A8F">
      <w:pPr>
        <w:widowControl/>
        <w:wordWrap w:val="0"/>
        <w:spacing w:line="440" w:lineRule="exact"/>
        <w:jc w:val="left"/>
        <w:rPr>
          <w:rFonts w:ascii="宋体" w:hAnsi="宋体" w:eastAsia="宋体"/>
          <w:b/>
          <w:color w:val="auto"/>
          <w:sz w:val="24"/>
          <w:highlight w:val="none"/>
        </w:rPr>
      </w:pPr>
      <w:r>
        <w:rPr>
          <w:rFonts w:ascii="宋体" w:hAnsi="宋体" w:eastAsia="宋体"/>
          <w:b/>
          <w:color w:val="auto"/>
          <w:sz w:val="24"/>
          <w:highlight w:val="none"/>
        </w:rPr>
        <w:br w:type="page"/>
      </w:r>
    </w:p>
    <w:p w14:paraId="2E41F4C3">
      <w:pPr>
        <w:wordWrap w:val="0"/>
        <w:spacing w:line="440" w:lineRule="exact"/>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第二部分</w:t>
      </w:r>
      <w:r>
        <w:rPr>
          <w:rFonts w:ascii="宋体" w:hAnsi="宋体" w:eastAsia="宋体"/>
          <w:b/>
          <w:color w:val="auto"/>
          <w:sz w:val="28"/>
          <w:szCs w:val="28"/>
          <w:highlight w:val="none"/>
        </w:rPr>
        <w:t xml:space="preserve"> </w:t>
      </w:r>
      <w:r>
        <w:rPr>
          <w:rFonts w:hint="eastAsia" w:ascii="宋体" w:hAnsi="宋体" w:eastAsia="宋体"/>
          <w:b/>
          <w:color w:val="auto"/>
          <w:sz w:val="28"/>
          <w:szCs w:val="28"/>
          <w:highlight w:val="none"/>
        </w:rPr>
        <w:t>合同一般条款</w:t>
      </w:r>
      <w:bookmarkEnd w:id="44"/>
    </w:p>
    <w:p w14:paraId="0185DBF7">
      <w:pPr>
        <w:wordWrap w:val="0"/>
        <w:spacing w:line="440" w:lineRule="exact"/>
        <w:ind w:firstLine="437"/>
        <w:jc w:val="left"/>
        <w:outlineLvl w:val="3"/>
        <w:rPr>
          <w:rFonts w:ascii="宋体" w:hAnsi="宋体" w:eastAsia="宋体"/>
          <w:b/>
          <w:bCs/>
          <w:color w:val="auto"/>
          <w:sz w:val="24"/>
          <w:highlight w:val="none"/>
          <w:lang w:val="zh-CN"/>
        </w:rPr>
      </w:pPr>
      <w:bookmarkStart w:id="45" w:name="_Ref467379094"/>
      <w:bookmarkStart w:id="46" w:name="_Ref467379205"/>
      <w:bookmarkStart w:id="47" w:name="_Toc28763"/>
      <w:bookmarkStart w:id="48" w:name="_Ref467379195"/>
      <w:bookmarkStart w:id="49" w:name="_Ref467378499"/>
      <w:bookmarkStart w:id="50" w:name="_Ref467378404"/>
      <w:bookmarkStart w:id="51" w:name="_Ref467379101"/>
      <w:bookmarkStart w:id="52" w:name="_Toc487900349"/>
      <w:bookmarkStart w:id="53" w:name="_Toc19614"/>
      <w:bookmarkStart w:id="54" w:name="_Toc259093669"/>
      <w:bookmarkStart w:id="55" w:name="_Toc16917"/>
      <w:bookmarkStart w:id="56" w:name="_Toc279701240"/>
      <w:bookmarkStart w:id="57" w:name="_Ref467379225"/>
      <w:bookmarkStart w:id="58" w:name="_Ref467378463"/>
      <w:bookmarkStart w:id="59" w:name="_Ref467379109"/>
      <w:bookmarkStart w:id="60" w:name="_Ref46737921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510D775">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77CC4AC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0E7B9B6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0C0FE18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除货物和工程以外的其他采购对象，包括采购人自身需要的服务和向社会公众提供的公共服务。</w:t>
      </w:r>
    </w:p>
    <w:p w14:paraId="7C8C201A">
      <w:pPr>
        <w:wordWrap w:val="0"/>
        <w:spacing w:line="440" w:lineRule="exact"/>
        <w:ind w:firstLine="435"/>
        <w:jc w:val="left"/>
        <w:rPr>
          <w:rFonts w:ascii="宋体" w:hAnsi="宋体" w:eastAsia="宋体"/>
          <w:color w:val="auto"/>
          <w:sz w:val="24"/>
          <w:highlight w:val="none"/>
        </w:rPr>
      </w:pPr>
      <w:bookmarkStart w:id="61"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61"/>
      <w:r>
        <w:rPr>
          <w:rFonts w:hint="eastAsia" w:ascii="宋体" w:hAnsi="宋体" w:eastAsia="宋体"/>
          <w:color w:val="auto"/>
          <w:sz w:val="24"/>
          <w:highlight w:val="none"/>
        </w:rPr>
        <w:t>；采购人委托采购代理机构代表其与乙方签订合同的，采购人的授权委托书作为合同附件。</w:t>
      </w:r>
    </w:p>
    <w:p w14:paraId="2EE0D7C6">
      <w:pPr>
        <w:wordWrap w:val="0"/>
        <w:spacing w:line="440" w:lineRule="exact"/>
        <w:ind w:firstLine="435"/>
        <w:jc w:val="left"/>
        <w:rPr>
          <w:rFonts w:ascii="宋体" w:hAnsi="宋体" w:eastAsia="宋体"/>
          <w:color w:val="auto"/>
          <w:sz w:val="24"/>
          <w:highlight w:val="none"/>
        </w:rPr>
      </w:pPr>
      <w:bookmarkStart w:id="62"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62"/>
      <w:r>
        <w:rPr>
          <w:rFonts w:hint="eastAsia" w:ascii="宋体" w:hAnsi="宋体" w:eastAsia="宋体"/>
          <w:color w:val="auto"/>
          <w:sz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45026083">
      <w:pPr>
        <w:wordWrap w:val="0"/>
        <w:spacing w:line="440" w:lineRule="exact"/>
        <w:ind w:firstLine="435"/>
        <w:jc w:val="left"/>
        <w:rPr>
          <w:rFonts w:ascii="宋体" w:hAnsi="宋体" w:eastAsia="宋体"/>
          <w:color w:val="auto"/>
          <w:sz w:val="24"/>
          <w:highlight w:val="none"/>
        </w:rPr>
      </w:pPr>
      <w:bookmarkStart w:id="63"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63"/>
    </w:p>
    <w:p w14:paraId="6B69A336">
      <w:pPr>
        <w:wordWrap w:val="0"/>
        <w:spacing w:line="440" w:lineRule="exact"/>
        <w:ind w:firstLine="437"/>
        <w:jc w:val="left"/>
        <w:outlineLvl w:val="3"/>
        <w:rPr>
          <w:rFonts w:ascii="宋体" w:hAnsi="宋体" w:eastAsia="宋体"/>
          <w:b/>
          <w:bCs/>
          <w:color w:val="auto"/>
          <w:sz w:val="24"/>
          <w:highlight w:val="none"/>
          <w:lang w:val="zh-CN"/>
        </w:rPr>
      </w:pPr>
      <w:bookmarkStart w:id="64" w:name="_Toc259093670"/>
      <w:bookmarkStart w:id="65" w:name="_Toc487900350"/>
      <w:bookmarkStart w:id="66" w:name="_Toc279701241"/>
      <w:bookmarkStart w:id="67" w:name="_Toc13336"/>
      <w:bookmarkStart w:id="68" w:name="_Toc32504"/>
      <w:bookmarkStart w:id="69" w:name="_Toc2763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64"/>
      <w:bookmarkEnd w:id="65"/>
      <w:bookmarkEnd w:id="66"/>
      <w:bookmarkEnd w:id="67"/>
      <w:bookmarkEnd w:id="68"/>
      <w:bookmarkEnd w:id="69"/>
    </w:p>
    <w:p w14:paraId="22E7C837">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213A1C28">
      <w:pPr>
        <w:wordWrap w:val="0"/>
        <w:spacing w:line="440" w:lineRule="exact"/>
        <w:ind w:firstLine="437"/>
        <w:jc w:val="left"/>
        <w:outlineLvl w:val="3"/>
        <w:rPr>
          <w:rFonts w:ascii="宋体" w:hAnsi="宋体" w:eastAsia="宋体"/>
          <w:b/>
          <w:bCs/>
          <w:color w:val="auto"/>
          <w:sz w:val="24"/>
          <w:highlight w:val="none"/>
          <w:lang w:val="zh-CN"/>
        </w:rPr>
      </w:pPr>
      <w:bookmarkStart w:id="70" w:name="_Toc31634"/>
      <w:bookmarkStart w:id="71" w:name="_Toc9829"/>
      <w:bookmarkStart w:id="72" w:name="_Toc487900351"/>
      <w:bookmarkStart w:id="73" w:name="_Toc259093671"/>
      <w:bookmarkStart w:id="74" w:name="_Toc27853"/>
      <w:bookmarkStart w:id="75" w:name="_Toc279701242"/>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70"/>
      <w:bookmarkEnd w:id="71"/>
      <w:bookmarkEnd w:id="72"/>
      <w:bookmarkEnd w:id="73"/>
      <w:bookmarkEnd w:id="74"/>
      <w:bookmarkEnd w:id="75"/>
    </w:p>
    <w:p w14:paraId="5AECCB4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3DF72A5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774212FD">
      <w:pPr>
        <w:wordWrap w:val="0"/>
        <w:spacing w:line="440" w:lineRule="exact"/>
        <w:ind w:firstLine="437"/>
        <w:jc w:val="left"/>
        <w:outlineLvl w:val="3"/>
        <w:rPr>
          <w:rFonts w:ascii="宋体" w:hAnsi="宋体" w:eastAsia="宋体"/>
          <w:b/>
          <w:bCs/>
          <w:color w:val="auto"/>
          <w:sz w:val="24"/>
          <w:highlight w:val="none"/>
          <w:lang w:val="zh-CN"/>
        </w:rPr>
      </w:pPr>
      <w:bookmarkStart w:id="76" w:name="_Ref467379542"/>
      <w:bookmarkStart w:id="77" w:name="_Toc279701245"/>
      <w:bookmarkStart w:id="78" w:name="_Toc259093674"/>
      <w:bookmarkStart w:id="79" w:name="_Ref467379536"/>
      <w:bookmarkStart w:id="80" w:name="_Ref467378541"/>
      <w:bookmarkStart w:id="81" w:name="_Toc487900354"/>
      <w:bookmarkStart w:id="82" w:name="_Ref467378591"/>
      <w:bookmarkStart w:id="83" w:name="_Ref467379527"/>
      <w:bookmarkStart w:id="84" w:name="_Toc30272"/>
      <w:bookmarkStart w:id="85" w:name="_Toc19074"/>
      <w:bookmarkStart w:id="86" w:name="_Toc26182"/>
      <w:r>
        <w:rPr>
          <w:rFonts w:hint="eastAsia" w:ascii="宋体" w:hAnsi="宋体" w:eastAsia="宋体"/>
          <w:b/>
          <w:bCs/>
          <w:color w:val="auto"/>
          <w:sz w:val="24"/>
          <w:highlight w:val="none"/>
          <w:lang w:val="zh-CN"/>
        </w:rPr>
        <w:t>2.</w:t>
      </w:r>
      <w:bookmarkEnd w:id="76"/>
      <w:bookmarkEnd w:id="77"/>
      <w:bookmarkEnd w:id="78"/>
      <w:bookmarkEnd w:id="79"/>
      <w:bookmarkEnd w:id="80"/>
      <w:bookmarkEnd w:id="81"/>
      <w:bookmarkEnd w:id="82"/>
      <w:bookmarkEnd w:id="83"/>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84"/>
      <w:bookmarkEnd w:id="85"/>
      <w:bookmarkEnd w:id="86"/>
    </w:p>
    <w:p w14:paraId="06D9244D">
      <w:pPr>
        <w:wordWrap w:val="0"/>
        <w:spacing w:line="440" w:lineRule="exact"/>
        <w:ind w:firstLine="435"/>
        <w:jc w:val="left"/>
        <w:rPr>
          <w:rFonts w:ascii="宋体" w:hAnsi="宋体" w:eastAsia="宋体"/>
          <w:color w:val="auto"/>
          <w:sz w:val="24"/>
          <w:highlight w:val="none"/>
        </w:rPr>
      </w:pPr>
      <w:bookmarkStart w:id="87" w:name="_Toc186431854"/>
      <w:bookmarkStart w:id="88" w:name="_Toc279701247"/>
      <w:bookmarkStart w:id="89" w:name="_Toc259093676"/>
      <w:bookmarkStart w:id="90" w:name="_Toc487900357"/>
      <w:bookmarkStart w:id="91" w:name="_Ref467379793"/>
      <w:bookmarkStart w:id="92" w:name="_Ref467379807"/>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7142325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87"/>
      <w:bookmarkStart w:id="93" w:name="_Toc186431855"/>
      <w:r>
        <w:rPr>
          <w:rFonts w:hint="eastAsia" w:ascii="宋体" w:hAnsi="宋体" w:eastAsia="宋体"/>
          <w:color w:val="auto"/>
          <w:sz w:val="24"/>
          <w:highlight w:val="none"/>
        </w:rPr>
        <w:t>。</w:t>
      </w:r>
    </w:p>
    <w:bookmarkEnd w:id="93"/>
    <w:p w14:paraId="6370B8C9">
      <w:pPr>
        <w:wordWrap w:val="0"/>
        <w:spacing w:line="440" w:lineRule="exact"/>
        <w:ind w:firstLine="437"/>
        <w:jc w:val="left"/>
        <w:outlineLvl w:val="3"/>
        <w:rPr>
          <w:rFonts w:ascii="宋体" w:hAnsi="宋体" w:eastAsia="宋体"/>
          <w:b/>
          <w:bCs/>
          <w:color w:val="auto"/>
          <w:sz w:val="24"/>
          <w:highlight w:val="none"/>
          <w:lang w:val="zh-CN"/>
        </w:rPr>
      </w:pPr>
      <w:bookmarkStart w:id="94" w:name="_Toc28451"/>
      <w:bookmarkStart w:id="95" w:name="_Toc19219"/>
      <w:bookmarkStart w:id="96" w:name="_Toc783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88"/>
      <w:bookmarkEnd w:id="89"/>
      <w:bookmarkEnd w:id="90"/>
      <w:bookmarkEnd w:id="91"/>
      <w:bookmarkEnd w:id="92"/>
      <w:bookmarkEnd w:id="94"/>
      <w:bookmarkEnd w:id="95"/>
      <w:bookmarkEnd w:id="96"/>
    </w:p>
    <w:p w14:paraId="513BAB6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0E6538D7">
      <w:pPr>
        <w:wordWrap w:val="0"/>
        <w:spacing w:line="440" w:lineRule="exact"/>
        <w:ind w:firstLine="437"/>
        <w:jc w:val="left"/>
        <w:outlineLvl w:val="3"/>
        <w:rPr>
          <w:rFonts w:ascii="宋体" w:hAnsi="宋体" w:eastAsia="宋体"/>
          <w:b/>
          <w:bCs/>
          <w:color w:val="auto"/>
          <w:sz w:val="24"/>
          <w:highlight w:val="none"/>
          <w:lang w:val="zh-CN"/>
        </w:rPr>
      </w:pPr>
      <w:bookmarkStart w:id="97" w:name="_Toc279701248"/>
      <w:bookmarkStart w:id="98" w:name="_Ref467379863"/>
      <w:bookmarkStart w:id="99" w:name="_Toc487900358"/>
      <w:bookmarkStart w:id="100" w:name="_Ref467379923"/>
      <w:bookmarkStart w:id="101" w:name="_Ref467379852"/>
      <w:bookmarkStart w:id="102" w:name="_Toc259093677"/>
      <w:bookmarkStart w:id="103" w:name="_Toc774"/>
      <w:bookmarkStart w:id="104" w:name="_Toc16110"/>
      <w:bookmarkStart w:id="105" w:name="_Toc322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97"/>
      <w:bookmarkEnd w:id="98"/>
      <w:bookmarkEnd w:id="99"/>
      <w:bookmarkEnd w:id="100"/>
      <w:bookmarkEnd w:id="101"/>
      <w:bookmarkEnd w:id="102"/>
      <w:r>
        <w:rPr>
          <w:rFonts w:ascii="宋体" w:hAnsi="宋体" w:eastAsia="宋体"/>
          <w:b/>
          <w:bCs/>
          <w:color w:val="auto"/>
          <w:sz w:val="24"/>
          <w:highlight w:val="none"/>
          <w:lang w:val="zh-CN"/>
        </w:rPr>
        <w:t>和保密义务</w:t>
      </w:r>
      <w:bookmarkEnd w:id="103"/>
      <w:bookmarkEnd w:id="104"/>
      <w:bookmarkEnd w:id="105"/>
    </w:p>
    <w:p w14:paraId="68F41CEA">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40E2178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5E8F0220">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1AD35C36">
      <w:pPr>
        <w:wordWrap w:val="0"/>
        <w:spacing w:line="440" w:lineRule="exact"/>
        <w:ind w:firstLine="437"/>
        <w:jc w:val="left"/>
        <w:outlineLvl w:val="3"/>
        <w:rPr>
          <w:rFonts w:ascii="宋体" w:hAnsi="宋体" w:eastAsia="宋体"/>
          <w:b/>
          <w:bCs/>
          <w:color w:val="auto"/>
          <w:sz w:val="24"/>
          <w:highlight w:val="none"/>
          <w:lang w:val="zh-CN"/>
        </w:rPr>
      </w:pPr>
      <w:bookmarkStart w:id="106" w:name="_Toc7860"/>
      <w:r>
        <w:rPr>
          <w:rFonts w:ascii="宋体" w:hAnsi="宋体" w:eastAsia="宋体"/>
          <w:b/>
          <w:bCs/>
          <w:color w:val="auto"/>
          <w:sz w:val="24"/>
          <w:highlight w:val="none"/>
          <w:lang w:val="zh-CN"/>
        </w:rPr>
        <w:t>2.7 质量保证</w:t>
      </w:r>
      <w:bookmarkEnd w:id="106"/>
    </w:p>
    <w:p w14:paraId="13333B4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0776812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7E446062">
      <w:pPr>
        <w:wordWrap w:val="0"/>
        <w:spacing w:line="440" w:lineRule="exact"/>
        <w:ind w:firstLine="437"/>
        <w:jc w:val="left"/>
        <w:outlineLvl w:val="3"/>
        <w:rPr>
          <w:rFonts w:ascii="宋体" w:hAnsi="宋体" w:eastAsia="宋体"/>
          <w:b/>
          <w:color w:val="auto"/>
          <w:sz w:val="24"/>
          <w:highlight w:val="none"/>
        </w:rPr>
      </w:pPr>
      <w:bookmarkStart w:id="107" w:name="_Toc22267"/>
      <w:r>
        <w:rPr>
          <w:rFonts w:hint="eastAsia" w:ascii="宋体" w:hAnsi="宋体" w:eastAsia="宋体"/>
          <w:b/>
          <w:color w:val="auto"/>
          <w:sz w:val="24"/>
          <w:highlight w:val="none"/>
        </w:rPr>
        <w:t>2.8 延迟履行</w:t>
      </w:r>
      <w:bookmarkEnd w:id="107"/>
    </w:p>
    <w:p w14:paraId="516AD86F">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1B0C1F97">
      <w:pPr>
        <w:wordWrap w:val="0"/>
        <w:spacing w:line="440" w:lineRule="exact"/>
        <w:ind w:firstLine="437"/>
        <w:jc w:val="left"/>
        <w:outlineLvl w:val="3"/>
        <w:rPr>
          <w:rFonts w:ascii="宋体" w:hAnsi="宋体" w:eastAsia="宋体"/>
          <w:b/>
          <w:bCs/>
          <w:color w:val="auto"/>
          <w:sz w:val="24"/>
          <w:highlight w:val="none"/>
          <w:lang w:val="zh-CN"/>
        </w:rPr>
      </w:pPr>
      <w:bookmarkStart w:id="108" w:name="_Toc7502"/>
      <w:bookmarkStart w:id="109" w:name="_Toc487900364"/>
      <w:bookmarkStart w:id="110" w:name="_Toc259093683"/>
      <w:bookmarkStart w:id="111" w:name="_Toc279701254"/>
      <w:bookmarkStart w:id="112" w:name="_Ref467378121"/>
      <w:r>
        <w:rPr>
          <w:rFonts w:ascii="宋体" w:hAnsi="宋体" w:eastAsia="宋体"/>
          <w:b/>
          <w:bCs/>
          <w:color w:val="auto"/>
          <w:sz w:val="24"/>
          <w:highlight w:val="none"/>
          <w:lang w:val="zh-CN"/>
        </w:rPr>
        <w:t>2.9 合同变更</w:t>
      </w:r>
      <w:bookmarkEnd w:id="108"/>
    </w:p>
    <w:p w14:paraId="2E33D6F8">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6BB9B5E0">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13" w:name="_Toc487900369"/>
      <w:bookmarkStart w:id="114" w:name="_Toc259093688"/>
      <w:bookmarkStart w:id="115" w:name="_Toc279701259"/>
    </w:p>
    <w:p w14:paraId="64677B56">
      <w:pPr>
        <w:wordWrap w:val="0"/>
        <w:spacing w:line="440" w:lineRule="exact"/>
        <w:ind w:firstLine="437"/>
        <w:jc w:val="left"/>
        <w:outlineLvl w:val="3"/>
        <w:rPr>
          <w:rFonts w:ascii="宋体" w:hAnsi="宋体" w:eastAsia="宋体"/>
          <w:b/>
          <w:bCs/>
          <w:color w:val="auto"/>
          <w:sz w:val="24"/>
          <w:highlight w:val="none"/>
          <w:lang w:val="zh-CN"/>
        </w:rPr>
      </w:pPr>
      <w:bookmarkStart w:id="116" w:name="_Toc10366"/>
      <w:bookmarkStart w:id="117" w:name="_Toc15237"/>
      <w:bookmarkStart w:id="118" w:name="_Toc2295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13"/>
      <w:bookmarkEnd w:id="114"/>
      <w:bookmarkEnd w:id="115"/>
      <w:r>
        <w:rPr>
          <w:rFonts w:ascii="宋体" w:hAnsi="宋体" w:eastAsia="宋体"/>
          <w:b/>
          <w:bCs/>
          <w:color w:val="auto"/>
          <w:sz w:val="24"/>
          <w:highlight w:val="none"/>
          <w:lang w:val="zh-CN"/>
        </w:rPr>
        <w:t>和分包</w:t>
      </w:r>
      <w:bookmarkEnd w:id="116"/>
      <w:bookmarkEnd w:id="117"/>
      <w:bookmarkEnd w:id="118"/>
    </w:p>
    <w:p w14:paraId="1DAEF78E">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6E67A43C">
      <w:pPr>
        <w:wordWrap w:val="0"/>
        <w:spacing w:line="440" w:lineRule="exact"/>
        <w:ind w:firstLine="437"/>
        <w:jc w:val="left"/>
        <w:outlineLvl w:val="3"/>
        <w:rPr>
          <w:rFonts w:ascii="宋体" w:hAnsi="宋体" w:eastAsia="宋体"/>
          <w:b/>
          <w:bCs/>
          <w:color w:val="auto"/>
          <w:sz w:val="24"/>
          <w:highlight w:val="none"/>
          <w:lang w:val="zh-CN"/>
        </w:rPr>
      </w:pPr>
      <w:bookmarkStart w:id="119" w:name="_Toc13566"/>
      <w:bookmarkStart w:id="120" w:name="_Toc16508"/>
      <w:bookmarkStart w:id="121" w:name="_Toc140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19"/>
      <w:bookmarkEnd w:id="120"/>
      <w:bookmarkEnd w:id="121"/>
    </w:p>
    <w:p w14:paraId="706E228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763BBE5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4EDCA9D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17FA7D3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585B1EBA">
      <w:pPr>
        <w:wordWrap w:val="0"/>
        <w:spacing w:line="440" w:lineRule="exact"/>
        <w:ind w:firstLine="437"/>
        <w:jc w:val="left"/>
        <w:outlineLvl w:val="3"/>
        <w:rPr>
          <w:rFonts w:ascii="宋体" w:hAnsi="宋体" w:eastAsia="宋体"/>
          <w:b/>
          <w:bCs/>
          <w:color w:val="auto"/>
          <w:sz w:val="24"/>
          <w:highlight w:val="none"/>
          <w:lang w:val="zh-CN"/>
        </w:rPr>
      </w:pPr>
      <w:bookmarkStart w:id="122" w:name="_Toc487900365"/>
      <w:bookmarkStart w:id="123" w:name="_Toc259093684"/>
      <w:bookmarkStart w:id="124" w:name="_Toc279701255"/>
      <w:bookmarkStart w:id="125" w:name="_Toc6969"/>
      <w:bookmarkStart w:id="126" w:name="_Toc30676"/>
      <w:bookmarkStart w:id="127" w:name="_Toc68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22"/>
      <w:bookmarkEnd w:id="123"/>
      <w:bookmarkEnd w:id="124"/>
      <w:bookmarkEnd w:id="125"/>
      <w:bookmarkEnd w:id="126"/>
      <w:bookmarkEnd w:id="127"/>
    </w:p>
    <w:p w14:paraId="6F47AFF7">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1EE5650E">
      <w:pPr>
        <w:wordWrap w:val="0"/>
        <w:spacing w:line="440" w:lineRule="exact"/>
        <w:ind w:firstLine="437"/>
        <w:jc w:val="left"/>
        <w:outlineLvl w:val="3"/>
        <w:rPr>
          <w:rFonts w:ascii="宋体" w:hAnsi="宋体" w:eastAsia="宋体"/>
          <w:b/>
          <w:bCs/>
          <w:color w:val="auto"/>
          <w:sz w:val="24"/>
          <w:highlight w:val="none"/>
          <w:lang w:val="zh-CN"/>
        </w:rPr>
      </w:pPr>
      <w:bookmarkStart w:id="128" w:name="_Toc487900368"/>
      <w:bookmarkStart w:id="129" w:name="_Toc279701258"/>
      <w:bookmarkStart w:id="130" w:name="_Toc7102"/>
      <w:bookmarkStart w:id="131" w:name="_Toc16959"/>
      <w:bookmarkStart w:id="132" w:name="_Toc8298"/>
      <w:bookmarkStart w:id="133" w:name="_Toc259093687"/>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28"/>
      <w:bookmarkEnd w:id="129"/>
      <w:bookmarkEnd w:id="130"/>
      <w:bookmarkEnd w:id="131"/>
      <w:bookmarkEnd w:id="132"/>
      <w:bookmarkEnd w:id="133"/>
    </w:p>
    <w:p w14:paraId="2447E0DC">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11F7A9B8">
      <w:pPr>
        <w:wordWrap w:val="0"/>
        <w:spacing w:line="440" w:lineRule="exact"/>
        <w:ind w:firstLine="437"/>
        <w:jc w:val="left"/>
        <w:outlineLvl w:val="3"/>
        <w:rPr>
          <w:rFonts w:ascii="宋体" w:hAnsi="宋体" w:eastAsia="宋体"/>
          <w:b/>
          <w:color w:val="auto"/>
          <w:sz w:val="24"/>
          <w:highlight w:val="none"/>
        </w:rPr>
      </w:pPr>
      <w:bookmarkStart w:id="134" w:name="_Toc15387"/>
      <w:bookmarkStart w:id="135" w:name="_Toc29333"/>
      <w:bookmarkStart w:id="136" w:name="_Toc613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134"/>
      <w:bookmarkEnd w:id="135"/>
      <w:bookmarkEnd w:id="136"/>
    </w:p>
    <w:p w14:paraId="1B89ECB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43AA4E1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569A7BD6">
      <w:pPr>
        <w:wordWrap w:val="0"/>
        <w:spacing w:line="440" w:lineRule="exact"/>
        <w:ind w:firstLine="437"/>
        <w:jc w:val="left"/>
        <w:outlineLvl w:val="3"/>
        <w:rPr>
          <w:rFonts w:ascii="宋体" w:hAnsi="宋体" w:eastAsia="宋体"/>
          <w:b/>
          <w:bCs/>
          <w:color w:val="auto"/>
          <w:sz w:val="24"/>
          <w:highlight w:val="none"/>
          <w:lang w:val="zh-CN"/>
        </w:rPr>
      </w:pPr>
      <w:bookmarkStart w:id="137" w:name="_Toc14563"/>
      <w:bookmarkStart w:id="138" w:name="_Toc6596"/>
      <w:bookmarkStart w:id="139" w:name="_Toc112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137"/>
      <w:bookmarkEnd w:id="138"/>
      <w:bookmarkEnd w:id="139"/>
    </w:p>
    <w:p w14:paraId="21CEFAD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1C1FB75A">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AE4BA17">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09"/>
    <w:bookmarkEnd w:id="110"/>
    <w:bookmarkEnd w:id="111"/>
    <w:bookmarkEnd w:id="112"/>
    <w:p w14:paraId="37054171">
      <w:pPr>
        <w:wordWrap w:val="0"/>
        <w:spacing w:line="440" w:lineRule="exact"/>
        <w:ind w:firstLine="437"/>
        <w:jc w:val="left"/>
        <w:outlineLvl w:val="3"/>
        <w:rPr>
          <w:rFonts w:ascii="宋体" w:hAnsi="宋体" w:eastAsia="宋体"/>
          <w:b/>
          <w:bCs/>
          <w:color w:val="auto"/>
          <w:sz w:val="24"/>
          <w:highlight w:val="none"/>
        </w:rPr>
      </w:pPr>
      <w:bookmarkStart w:id="140" w:name="_Toc279701263"/>
      <w:bookmarkStart w:id="141" w:name="_Toc18567"/>
      <w:bookmarkStart w:id="142" w:name="_Toc259093692"/>
      <w:bookmarkStart w:id="143" w:name="_Toc487900373"/>
      <w:bookmarkStart w:id="144" w:name="_Toc12773"/>
      <w:bookmarkStart w:id="145" w:name="_Toc10330"/>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140"/>
      <w:bookmarkEnd w:id="141"/>
      <w:bookmarkEnd w:id="142"/>
      <w:bookmarkEnd w:id="143"/>
      <w:bookmarkEnd w:id="144"/>
      <w:bookmarkEnd w:id="145"/>
    </w:p>
    <w:p w14:paraId="787447C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1E0AA56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04EA0AEE">
      <w:pPr>
        <w:wordWrap w:val="0"/>
        <w:spacing w:line="440" w:lineRule="exact"/>
        <w:ind w:firstLine="437"/>
        <w:jc w:val="left"/>
        <w:outlineLvl w:val="3"/>
        <w:rPr>
          <w:rFonts w:ascii="宋体" w:hAnsi="宋体" w:eastAsia="宋体"/>
          <w:b/>
          <w:color w:val="auto"/>
          <w:sz w:val="24"/>
          <w:highlight w:val="none"/>
        </w:rPr>
      </w:pPr>
      <w:bookmarkStart w:id="146" w:name="_Toc16673"/>
      <w:bookmarkStart w:id="147" w:name="_Toc259093693"/>
      <w:bookmarkStart w:id="148" w:name="_Toc3148"/>
      <w:bookmarkStart w:id="149" w:name="_Toc279701264"/>
      <w:bookmarkStart w:id="150" w:name="_Toc12004"/>
      <w:bookmarkStart w:id="151"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146"/>
      <w:bookmarkEnd w:id="147"/>
      <w:bookmarkEnd w:id="148"/>
      <w:bookmarkEnd w:id="149"/>
      <w:bookmarkEnd w:id="150"/>
    </w:p>
    <w:p w14:paraId="34ADB28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，以支票、汇票、本票或者金融机构、担保机构出具的保函等非现金形式，提交不超过合同价10%的履约保证金；</w:t>
      </w:r>
    </w:p>
    <w:p w14:paraId="79C80530">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17.2履约保证金在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约定期间内不予退还或者应完全有效</w:t>
      </w:r>
      <w:r>
        <w:rPr>
          <w:rFonts w:hint="eastAsia" w:ascii="宋体" w:hAnsi="宋体" w:eastAsia="宋体"/>
          <w:color w:val="auto"/>
          <w:sz w:val="24"/>
          <w:highlight w:val="none"/>
        </w:rPr>
        <w:t>，前述约定期间届满</w:t>
      </w:r>
      <w:r>
        <w:rPr>
          <w:rFonts w:ascii="宋体" w:hAnsi="宋体" w:eastAsia="宋体"/>
          <w:color w:val="auto"/>
          <w:sz w:val="24"/>
          <w:highlight w:val="none"/>
        </w:rPr>
        <w:t>之日起</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个</w:t>
      </w:r>
      <w:r>
        <w:rPr>
          <w:rFonts w:ascii="宋体" w:hAnsi="宋体" w:eastAsia="宋体"/>
          <w:color w:val="auto"/>
          <w:sz w:val="24"/>
          <w:highlight w:val="none"/>
        </w:rPr>
        <w:t>工作日内，甲方应将履约保证金退还乙方</w:t>
      </w:r>
      <w:r>
        <w:rPr>
          <w:rFonts w:hint="eastAsia" w:ascii="宋体" w:hAnsi="宋体" w:eastAsia="宋体"/>
          <w:color w:val="auto"/>
          <w:sz w:val="24"/>
          <w:highlight w:val="none"/>
        </w:rPr>
        <w:t>；</w:t>
      </w:r>
    </w:p>
    <w:p w14:paraId="5540098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151"/>
    <w:p w14:paraId="6FA404BE">
      <w:pPr>
        <w:wordWrap w:val="0"/>
        <w:spacing w:line="440" w:lineRule="exact"/>
        <w:ind w:firstLine="437"/>
        <w:jc w:val="left"/>
        <w:outlineLvl w:val="3"/>
        <w:rPr>
          <w:rFonts w:ascii="宋体" w:hAnsi="宋体" w:eastAsia="宋体"/>
          <w:b/>
          <w:color w:val="auto"/>
          <w:sz w:val="24"/>
          <w:highlight w:val="none"/>
        </w:rPr>
      </w:pPr>
      <w:bookmarkStart w:id="152" w:name="_Toc6885"/>
      <w:bookmarkStart w:id="153" w:name="_Toc19890"/>
      <w:bookmarkStart w:id="154" w:name="_Toc1400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152"/>
      <w:bookmarkEnd w:id="153"/>
      <w:bookmarkEnd w:id="154"/>
    </w:p>
    <w:p w14:paraId="3C73989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0D988C95">
      <w:pPr>
        <w:wordWrap w:val="0"/>
        <w:spacing w:line="440" w:lineRule="exact"/>
        <w:jc w:val="center"/>
        <w:outlineLvl w:val="2"/>
        <w:rPr>
          <w:rFonts w:ascii="宋体" w:hAnsi="宋体" w:eastAsia="宋体"/>
          <w:b/>
          <w:color w:val="auto"/>
          <w:sz w:val="28"/>
          <w:szCs w:val="28"/>
          <w:highlight w:val="none"/>
        </w:rPr>
      </w:pPr>
      <w:r>
        <w:rPr>
          <w:rFonts w:ascii="宋体" w:hAnsi="宋体" w:eastAsia="宋体"/>
          <w:color w:val="auto"/>
          <w:sz w:val="24"/>
          <w:highlight w:val="none"/>
        </w:rPr>
        <w:br w:type="page"/>
      </w:r>
      <w:bookmarkStart w:id="155" w:name="_Toc331685784"/>
      <w:r>
        <w:rPr>
          <w:rFonts w:hint="eastAsia" w:ascii="宋体" w:hAnsi="宋体" w:eastAsia="宋体"/>
          <w:b/>
          <w:color w:val="auto"/>
          <w:sz w:val="28"/>
          <w:szCs w:val="28"/>
          <w:highlight w:val="none"/>
        </w:rPr>
        <w:t>第三部分</w:t>
      </w:r>
      <w:r>
        <w:rPr>
          <w:rFonts w:ascii="宋体" w:hAnsi="宋体" w:eastAsia="宋体"/>
          <w:b/>
          <w:color w:val="auto"/>
          <w:sz w:val="28"/>
          <w:szCs w:val="28"/>
          <w:highlight w:val="none"/>
        </w:rPr>
        <w:t xml:space="preserve"> </w:t>
      </w:r>
      <w:r>
        <w:rPr>
          <w:rFonts w:hint="eastAsia" w:ascii="宋体" w:hAnsi="宋体" w:eastAsia="宋体"/>
          <w:b/>
          <w:color w:val="auto"/>
          <w:sz w:val="28"/>
          <w:szCs w:val="28"/>
          <w:highlight w:val="none"/>
        </w:rPr>
        <w:t>合同专用条款</w:t>
      </w:r>
      <w:bookmarkEnd w:id="155"/>
    </w:p>
    <w:p w14:paraId="0B18E22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3"/>
        <w:gridCol w:w="7653"/>
      </w:tblGrid>
      <w:tr w14:paraId="0B599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3" w:type="dxa"/>
            <w:tcBorders>
              <w:left w:val="single" w:color="auto" w:sz="4" w:space="0"/>
            </w:tcBorders>
            <w:vAlign w:val="center"/>
          </w:tcPr>
          <w:p w14:paraId="4AF139D5">
            <w:pPr>
              <w:wordWrap w:val="0"/>
              <w:spacing w:line="440" w:lineRule="exact"/>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7653" w:type="dxa"/>
            <w:vAlign w:val="center"/>
          </w:tcPr>
          <w:p w14:paraId="31AC9EAE">
            <w:pPr>
              <w:wordWrap w:val="0"/>
              <w:spacing w:line="440" w:lineRule="exact"/>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5B8AA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3" w:type="dxa"/>
            <w:tcBorders>
              <w:left w:val="single" w:color="auto" w:sz="4" w:space="0"/>
            </w:tcBorders>
            <w:vAlign w:val="center"/>
          </w:tcPr>
          <w:p w14:paraId="67C107CF">
            <w:pPr>
              <w:wordWrap w:val="0"/>
              <w:spacing w:line="440" w:lineRule="exact"/>
              <w:rPr>
                <w:rFonts w:ascii="宋体" w:hAnsi="宋体" w:eastAsia="宋体"/>
                <w:color w:val="auto"/>
                <w:sz w:val="24"/>
                <w:highlight w:val="none"/>
              </w:rPr>
            </w:pPr>
          </w:p>
        </w:tc>
        <w:tc>
          <w:tcPr>
            <w:tcW w:w="7653" w:type="dxa"/>
            <w:vAlign w:val="center"/>
          </w:tcPr>
          <w:p w14:paraId="0526EAEA">
            <w:pPr>
              <w:wordWrap w:val="0"/>
              <w:spacing w:line="440" w:lineRule="exact"/>
              <w:rPr>
                <w:rFonts w:ascii="宋体" w:hAnsi="宋体" w:eastAsia="宋体"/>
                <w:color w:val="auto"/>
                <w:sz w:val="24"/>
                <w:highlight w:val="none"/>
              </w:rPr>
            </w:pPr>
          </w:p>
        </w:tc>
      </w:tr>
      <w:tr w14:paraId="6F2CC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0DACEEC1">
            <w:pPr>
              <w:wordWrap w:val="0"/>
              <w:spacing w:line="440" w:lineRule="exact"/>
              <w:rPr>
                <w:rFonts w:ascii="宋体" w:hAnsi="宋体" w:eastAsia="宋体"/>
                <w:color w:val="auto"/>
                <w:sz w:val="24"/>
                <w:highlight w:val="none"/>
              </w:rPr>
            </w:pPr>
          </w:p>
        </w:tc>
        <w:tc>
          <w:tcPr>
            <w:tcW w:w="7653" w:type="dxa"/>
            <w:vAlign w:val="center"/>
          </w:tcPr>
          <w:p w14:paraId="773046F1">
            <w:pPr>
              <w:wordWrap w:val="0"/>
              <w:spacing w:line="440" w:lineRule="exact"/>
              <w:rPr>
                <w:rFonts w:ascii="宋体" w:hAnsi="宋体" w:eastAsia="宋体"/>
                <w:color w:val="auto"/>
                <w:sz w:val="24"/>
                <w:highlight w:val="none"/>
              </w:rPr>
            </w:pPr>
          </w:p>
        </w:tc>
      </w:tr>
      <w:tr w14:paraId="65414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7B3BEFB0">
            <w:pPr>
              <w:wordWrap w:val="0"/>
              <w:spacing w:line="440" w:lineRule="exact"/>
              <w:rPr>
                <w:rFonts w:ascii="宋体" w:hAnsi="宋体" w:eastAsia="宋体"/>
                <w:color w:val="auto"/>
                <w:sz w:val="24"/>
                <w:highlight w:val="none"/>
              </w:rPr>
            </w:pPr>
          </w:p>
        </w:tc>
        <w:tc>
          <w:tcPr>
            <w:tcW w:w="7653" w:type="dxa"/>
            <w:vAlign w:val="center"/>
          </w:tcPr>
          <w:p w14:paraId="097F3081">
            <w:pPr>
              <w:wordWrap w:val="0"/>
              <w:spacing w:line="440" w:lineRule="exact"/>
              <w:rPr>
                <w:rFonts w:ascii="宋体" w:hAnsi="宋体" w:eastAsia="宋体"/>
                <w:color w:val="auto"/>
                <w:sz w:val="24"/>
                <w:highlight w:val="none"/>
              </w:rPr>
            </w:pPr>
          </w:p>
        </w:tc>
      </w:tr>
      <w:tr w14:paraId="32730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0B7FA376">
            <w:pPr>
              <w:wordWrap w:val="0"/>
              <w:spacing w:line="440" w:lineRule="exact"/>
              <w:rPr>
                <w:rFonts w:ascii="宋体" w:hAnsi="宋体" w:eastAsia="宋体"/>
                <w:color w:val="auto"/>
                <w:sz w:val="24"/>
                <w:highlight w:val="none"/>
              </w:rPr>
            </w:pPr>
          </w:p>
        </w:tc>
        <w:tc>
          <w:tcPr>
            <w:tcW w:w="7653" w:type="dxa"/>
            <w:vAlign w:val="center"/>
          </w:tcPr>
          <w:p w14:paraId="7497AFEE">
            <w:pPr>
              <w:wordWrap w:val="0"/>
              <w:spacing w:line="440" w:lineRule="exact"/>
              <w:rPr>
                <w:rFonts w:ascii="宋体" w:hAnsi="宋体" w:eastAsia="宋体"/>
                <w:color w:val="auto"/>
                <w:sz w:val="24"/>
                <w:highlight w:val="none"/>
              </w:rPr>
            </w:pPr>
          </w:p>
        </w:tc>
      </w:tr>
      <w:tr w14:paraId="2AFCD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141CB0EC">
            <w:pPr>
              <w:wordWrap w:val="0"/>
              <w:spacing w:line="440" w:lineRule="exact"/>
              <w:rPr>
                <w:rFonts w:ascii="宋体" w:hAnsi="宋体" w:eastAsia="宋体"/>
                <w:color w:val="auto"/>
                <w:sz w:val="24"/>
                <w:highlight w:val="none"/>
              </w:rPr>
            </w:pPr>
          </w:p>
        </w:tc>
        <w:tc>
          <w:tcPr>
            <w:tcW w:w="7653" w:type="dxa"/>
            <w:vAlign w:val="center"/>
          </w:tcPr>
          <w:p w14:paraId="1203FAF2">
            <w:pPr>
              <w:wordWrap w:val="0"/>
              <w:spacing w:line="440" w:lineRule="exact"/>
              <w:rPr>
                <w:rFonts w:ascii="宋体" w:hAnsi="宋体" w:eastAsia="宋体"/>
                <w:color w:val="auto"/>
                <w:sz w:val="24"/>
                <w:highlight w:val="none"/>
                <w:u w:val="single"/>
              </w:rPr>
            </w:pPr>
          </w:p>
        </w:tc>
      </w:tr>
      <w:tr w14:paraId="21F1C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30B8CA0A">
            <w:pPr>
              <w:wordWrap w:val="0"/>
              <w:spacing w:line="440" w:lineRule="exact"/>
              <w:rPr>
                <w:rFonts w:ascii="宋体" w:hAnsi="宋体" w:eastAsia="宋体"/>
                <w:color w:val="auto"/>
                <w:sz w:val="24"/>
                <w:highlight w:val="none"/>
              </w:rPr>
            </w:pPr>
          </w:p>
        </w:tc>
        <w:tc>
          <w:tcPr>
            <w:tcW w:w="7653" w:type="dxa"/>
            <w:vAlign w:val="center"/>
          </w:tcPr>
          <w:p w14:paraId="320DFBEA">
            <w:pPr>
              <w:wordWrap w:val="0"/>
              <w:spacing w:line="440" w:lineRule="exact"/>
              <w:rPr>
                <w:rFonts w:ascii="宋体" w:hAnsi="宋体" w:eastAsia="宋体"/>
                <w:color w:val="auto"/>
                <w:sz w:val="24"/>
                <w:highlight w:val="none"/>
              </w:rPr>
            </w:pPr>
          </w:p>
        </w:tc>
      </w:tr>
      <w:tr w14:paraId="053F8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0B98CDE6">
            <w:pPr>
              <w:wordWrap w:val="0"/>
              <w:spacing w:line="440" w:lineRule="exact"/>
              <w:rPr>
                <w:rFonts w:ascii="宋体" w:hAnsi="宋体" w:eastAsia="宋体"/>
                <w:color w:val="auto"/>
                <w:sz w:val="24"/>
                <w:highlight w:val="none"/>
              </w:rPr>
            </w:pPr>
          </w:p>
        </w:tc>
        <w:tc>
          <w:tcPr>
            <w:tcW w:w="7653" w:type="dxa"/>
            <w:vAlign w:val="center"/>
          </w:tcPr>
          <w:p w14:paraId="0F4AD0DF">
            <w:pPr>
              <w:wordWrap w:val="0"/>
              <w:spacing w:line="440" w:lineRule="exact"/>
              <w:rPr>
                <w:rFonts w:ascii="宋体" w:hAnsi="宋体" w:eastAsia="宋体"/>
                <w:color w:val="auto"/>
                <w:sz w:val="24"/>
                <w:highlight w:val="none"/>
                <w:u w:val="single"/>
              </w:rPr>
            </w:pPr>
          </w:p>
        </w:tc>
      </w:tr>
      <w:tr w14:paraId="30E44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64BD863B">
            <w:pPr>
              <w:wordWrap w:val="0"/>
              <w:spacing w:line="440" w:lineRule="exact"/>
              <w:rPr>
                <w:rFonts w:ascii="宋体" w:hAnsi="宋体" w:eastAsia="宋体"/>
                <w:color w:val="auto"/>
                <w:sz w:val="24"/>
                <w:highlight w:val="none"/>
              </w:rPr>
            </w:pPr>
          </w:p>
        </w:tc>
        <w:tc>
          <w:tcPr>
            <w:tcW w:w="7653" w:type="dxa"/>
            <w:vAlign w:val="center"/>
          </w:tcPr>
          <w:p w14:paraId="192935AA">
            <w:pPr>
              <w:wordWrap w:val="0"/>
              <w:spacing w:line="440" w:lineRule="exact"/>
              <w:rPr>
                <w:rFonts w:ascii="宋体" w:hAnsi="宋体" w:eastAsia="宋体"/>
                <w:color w:val="auto"/>
                <w:sz w:val="24"/>
                <w:highlight w:val="none"/>
              </w:rPr>
            </w:pPr>
          </w:p>
        </w:tc>
      </w:tr>
      <w:tr w14:paraId="3FE12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07F14A8E">
            <w:pPr>
              <w:wordWrap w:val="0"/>
              <w:spacing w:line="440" w:lineRule="exact"/>
              <w:rPr>
                <w:rFonts w:ascii="宋体" w:hAnsi="宋体" w:eastAsia="宋体"/>
                <w:color w:val="auto"/>
                <w:sz w:val="24"/>
                <w:highlight w:val="none"/>
              </w:rPr>
            </w:pPr>
          </w:p>
        </w:tc>
        <w:tc>
          <w:tcPr>
            <w:tcW w:w="7653" w:type="dxa"/>
            <w:vAlign w:val="center"/>
          </w:tcPr>
          <w:p w14:paraId="7EE021FE">
            <w:pPr>
              <w:wordWrap w:val="0"/>
              <w:spacing w:line="440" w:lineRule="exact"/>
              <w:rPr>
                <w:rFonts w:ascii="宋体" w:hAnsi="宋体" w:eastAsia="宋体"/>
                <w:color w:val="auto"/>
                <w:sz w:val="24"/>
                <w:highlight w:val="none"/>
              </w:rPr>
            </w:pPr>
          </w:p>
        </w:tc>
      </w:tr>
      <w:tr w14:paraId="68895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521D1E07">
            <w:pPr>
              <w:wordWrap w:val="0"/>
              <w:spacing w:line="440" w:lineRule="exact"/>
              <w:rPr>
                <w:rFonts w:ascii="宋体" w:hAnsi="宋体" w:eastAsia="宋体"/>
                <w:color w:val="auto"/>
                <w:sz w:val="24"/>
                <w:highlight w:val="none"/>
              </w:rPr>
            </w:pPr>
          </w:p>
        </w:tc>
        <w:tc>
          <w:tcPr>
            <w:tcW w:w="7653" w:type="dxa"/>
            <w:vAlign w:val="center"/>
          </w:tcPr>
          <w:p w14:paraId="0B9E107B">
            <w:pPr>
              <w:wordWrap w:val="0"/>
              <w:spacing w:line="440" w:lineRule="exact"/>
              <w:rPr>
                <w:rFonts w:ascii="宋体" w:hAnsi="宋体" w:eastAsia="宋体"/>
                <w:color w:val="auto"/>
                <w:sz w:val="24"/>
                <w:highlight w:val="none"/>
              </w:rPr>
            </w:pPr>
          </w:p>
        </w:tc>
      </w:tr>
      <w:tr w14:paraId="4BE48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top w:val="single" w:color="auto" w:sz="6" w:space="0"/>
              <w:left w:val="single" w:color="auto" w:sz="4" w:space="0"/>
              <w:bottom w:val="single" w:color="auto" w:sz="6" w:space="0"/>
              <w:right w:val="single" w:color="auto" w:sz="6" w:space="0"/>
            </w:tcBorders>
            <w:vAlign w:val="center"/>
          </w:tcPr>
          <w:p w14:paraId="05F31328">
            <w:pPr>
              <w:wordWrap w:val="0"/>
              <w:spacing w:line="440" w:lineRule="exact"/>
              <w:rPr>
                <w:rFonts w:ascii="宋体" w:hAnsi="宋体" w:eastAsia="宋体"/>
                <w:color w:val="auto"/>
                <w:sz w:val="24"/>
                <w:highlight w:val="none"/>
              </w:rPr>
            </w:pPr>
          </w:p>
        </w:tc>
        <w:tc>
          <w:tcPr>
            <w:tcW w:w="7653" w:type="dxa"/>
            <w:tcBorders>
              <w:top w:val="single" w:color="auto" w:sz="6" w:space="0"/>
              <w:left w:val="single" w:color="auto" w:sz="6" w:space="0"/>
              <w:bottom w:val="single" w:color="auto" w:sz="6" w:space="0"/>
              <w:right w:val="single" w:color="auto" w:sz="6" w:space="0"/>
            </w:tcBorders>
            <w:vAlign w:val="center"/>
          </w:tcPr>
          <w:p w14:paraId="6B74786A">
            <w:pPr>
              <w:wordWrap w:val="0"/>
              <w:spacing w:line="440" w:lineRule="exact"/>
              <w:rPr>
                <w:rFonts w:ascii="宋体" w:hAnsi="宋体" w:eastAsia="宋体"/>
                <w:color w:val="auto"/>
                <w:sz w:val="24"/>
                <w:highlight w:val="none"/>
              </w:rPr>
            </w:pPr>
          </w:p>
        </w:tc>
      </w:tr>
      <w:tr w14:paraId="2A831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top w:val="single" w:color="auto" w:sz="6" w:space="0"/>
              <w:left w:val="single" w:color="auto" w:sz="4" w:space="0"/>
              <w:bottom w:val="single" w:color="auto" w:sz="6" w:space="0"/>
              <w:right w:val="single" w:color="auto" w:sz="6" w:space="0"/>
            </w:tcBorders>
            <w:vAlign w:val="center"/>
          </w:tcPr>
          <w:p w14:paraId="4F246937">
            <w:pPr>
              <w:wordWrap w:val="0"/>
              <w:spacing w:line="440" w:lineRule="exact"/>
              <w:rPr>
                <w:rFonts w:ascii="宋体" w:hAnsi="宋体" w:eastAsia="宋体"/>
                <w:color w:val="auto"/>
                <w:sz w:val="24"/>
                <w:highlight w:val="none"/>
              </w:rPr>
            </w:pPr>
          </w:p>
        </w:tc>
        <w:tc>
          <w:tcPr>
            <w:tcW w:w="7653" w:type="dxa"/>
            <w:tcBorders>
              <w:top w:val="single" w:color="auto" w:sz="6" w:space="0"/>
              <w:left w:val="single" w:color="auto" w:sz="6" w:space="0"/>
              <w:bottom w:val="single" w:color="auto" w:sz="6" w:space="0"/>
              <w:right w:val="single" w:color="auto" w:sz="6" w:space="0"/>
            </w:tcBorders>
            <w:vAlign w:val="center"/>
          </w:tcPr>
          <w:p w14:paraId="65298D88">
            <w:pPr>
              <w:wordWrap w:val="0"/>
              <w:spacing w:line="440" w:lineRule="exact"/>
              <w:rPr>
                <w:rFonts w:ascii="宋体" w:hAnsi="宋体" w:eastAsia="宋体"/>
                <w:color w:val="auto"/>
                <w:sz w:val="24"/>
                <w:highlight w:val="none"/>
              </w:rPr>
            </w:pPr>
          </w:p>
        </w:tc>
      </w:tr>
    </w:tbl>
    <w:p w14:paraId="60CDDF53">
      <w:pPr>
        <w:widowControl/>
        <w:wordWrap w:val="0"/>
        <w:spacing w:line="440" w:lineRule="exact"/>
        <w:jc w:val="left"/>
        <w:rPr>
          <w:rFonts w:ascii="宋体" w:hAnsi="宋体" w:eastAsia="宋体"/>
          <w:color w:val="auto"/>
          <w:sz w:val="24"/>
          <w:highlight w:val="none"/>
        </w:rPr>
      </w:pPr>
      <w:r>
        <w:rPr>
          <w:rFonts w:ascii="宋体" w:hAnsi="宋体" w:eastAsia="宋体"/>
          <w:color w:val="auto"/>
          <w:sz w:val="24"/>
          <w:highlight w:val="none"/>
        </w:rPr>
        <w:br w:type="page"/>
      </w:r>
    </w:p>
    <w:p w14:paraId="1C4170E9">
      <w:pPr>
        <w:wordWrap w:val="0"/>
        <w:spacing w:line="440" w:lineRule="exact"/>
        <w:jc w:val="center"/>
        <w:outlineLvl w:val="1"/>
        <w:rPr>
          <w:rFonts w:ascii="华文中宋" w:hAnsi="华文中宋" w:eastAsia="华文中宋" w:cs="Times New Roman"/>
          <w:b/>
          <w:bCs/>
          <w:color w:val="auto"/>
          <w:kern w:val="44"/>
          <w:sz w:val="44"/>
          <w:szCs w:val="44"/>
          <w:highlight w:val="none"/>
        </w:rPr>
      </w:pPr>
      <w:bookmarkStart w:id="156" w:name="_Toc6440"/>
      <w:r>
        <w:rPr>
          <w:rFonts w:hint="eastAsia" w:ascii="华文中宋" w:hAnsi="华文中宋" w:eastAsia="华文中宋" w:cs="Times New Roman"/>
          <w:b/>
          <w:bCs/>
          <w:color w:val="auto"/>
          <w:kern w:val="44"/>
          <w:sz w:val="44"/>
          <w:szCs w:val="44"/>
          <w:highlight w:val="none"/>
        </w:rPr>
        <w:t>第六章  响应文件格式</w:t>
      </w:r>
      <w:bookmarkEnd w:id="156"/>
    </w:p>
    <w:p w14:paraId="1BAFE0D7">
      <w:pPr>
        <w:wordWrap w:val="0"/>
        <w:spacing w:line="440" w:lineRule="exact"/>
        <w:jc w:val="center"/>
        <w:rPr>
          <w:rFonts w:ascii="宋体" w:hAnsi="宋体" w:eastAsia="宋体"/>
          <w:b/>
          <w:color w:val="auto"/>
          <w:sz w:val="28"/>
          <w:szCs w:val="28"/>
          <w:highlight w:val="none"/>
        </w:rPr>
      </w:pPr>
    </w:p>
    <w:p w14:paraId="35CA70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32"/>
          <w:highlight w:val="none"/>
          <w:lang w:eastAsia="zh-CN"/>
        </w:rPr>
      </w:pPr>
      <w:r>
        <w:rPr>
          <w:rFonts w:hint="eastAsia" w:ascii="宋体" w:hAnsi="宋体" w:eastAsia="宋体"/>
          <w:b/>
          <w:color w:val="auto"/>
          <w:sz w:val="32"/>
          <w:highlight w:val="none"/>
          <w:lang w:eastAsia="zh-CN"/>
        </w:rPr>
        <w:t>猎头服务机构遴选</w:t>
      </w:r>
    </w:p>
    <w:p w14:paraId="12411C8B">
      <w:pPr>
        <w:spacing w:line="900" w:lineRule="exact"/>
        <w:jc w:val="center"/>
        <w:rPr>
          <w:rFonts w:ascii="宋体" w:hAnsi="宋体" w:eastAsia="宋体"/>
          <w:b/>
          <w:color w:val="auto"/>
          <w:sz w:val="72"/>
          <w:highlight w:val="none"/>
        </w:rPr>
      </w:pPr>
    </w:p>
    <w:p w14:paraId="2A0EEB55">
      <w:pPr>
        <w:spacing w:line="900" w:lineRule="exact"/>
        <w:jc w:val="center"/>
        <w:rPr>
          <w:rFonts w:ascii="宋体" w:hAnsi="宋体" w:eastAsia="宋体"/>
          <w:b/>
          <w:color w:val="auto"/>
          <w:sz w:val="72"/>
          <w:highlight w:val="none"/>
        </w:rPr>
      </w:pPr>
      <w:r>
        <w:rPr>
          <w:rFonts w:hint="eastAsia" w:ascii="宋体" w:hAnsi="宋体" w:eastAsia="宋体"/>
          <w:b/>
          <w:color w:val="auto"/>
          <w:sz w:val="72"/>
          <w:highlight w:val="none"/>
        </w:rPr>
        <w:t>响</w:t>
      </w:r>
    </w:p>
    <w:p w14:paraId="52DED0B5">
      <w:pPr>
        <w:spacing w:line="900" w:lineRule="exact"/>
        <w:jc w:val="center"/>
        <w:rPr>
          <w:rFonts w:ascii="宋体" w:hAnsi="宋体" w:eastAsia="宋体"/>
          <w:b/>
          <w:color w:val="auto"/>
          <w:sz w:val="72"/>
          <w:highlight w:val="none"/>
        </w:rPr>
      </w:pPr>
    </w:p>
    <w:p w14:paraId="0628117C">
      <w:pPr>
        <w:spacing w:line="900" w:lineRule="exact"/>
        <w:jc w:val="center"/>
        <w:rPr>
          <w:rFonts w:ascii="宋体" w:hAnsi="宋体" w:eastAsia="宋体"/>
          <w:b/>
          <w:color w:val="auto"/>
          <w:sz w:val="72"/>
          <w:highlight w:val="none"/>
        </w:rPr>
      </w:pPr>
      <w:r>
        <w:rPr>
          <w:rFonts w:hint="eastAsia" w:ascii="宋体" w:hAnsi="宋体" w:eastAsia="宋体"/>
          <w:b/>
          <w:color w:val="auto"/>
          <w:sz w:val="72"/>
          <w:highlight w:val="none"/>
        </w:rPr>
        <w:t>应</w:t>
      </w:r>
    </w:p>
    <w:p w14:paraId="1D85D814">
      <w:pPr>
        <w:spacing w:line="900" w:lineRule="exact"/>
        <w:jc w:val="center"/>
        <w:rPr>
          <w:rFonts w:ascii="宋体" w:hAnsi="宋体" w:eastAsia="宋体"/>
          <w:b/>
          <w:color w:val="auto"/>
          <w:sz w:val="72"/>
          <w:highlight w:val="none"/>
        </w:rPr>
      </w:pPr>
    </w:p>
    <w:p w14:paraId="77B10B58">
      <w:pPr>
        <w:spacing w:line="900" w:lineRule="exact"/>
        <w:jc w:val="center"/>
        <w:rPr>
          <w:rFonts w:ascii="宋体" w:hAnsi="宋体" w:eastAsia="宋体"/>
          <w:b/>
          <w:color w:val="auto"/>
          <w:sz w:val="72"/>
          <w:highlight w:val="none"/>
        </w:rPr>
      </w:pPr>
      <w:r>
        <w:rPr>
          <w:rFonts w:hint="eastAsia" w:ascii="宋体" w:hAnsi="宋体" w:eastAsia="宋体"/>
          <w:b/>
          <w:color w:val="auto"/>
          <w:sz w:val="72"/>
          <w:highlight w:val="none"/>
        </w:rPr>
        <w:t>文</w:t>
      </w:r>
    </w:p>
    <w:p w14:paraId="06BA4F65">
      <w:pPr>
        <w:spacing w:line="900" w:lineRule="exact"/>
        <w:jc w:val="center"/>
        <w:rPr>
          <w:rFonts w:ascii="宋体" w:hAnsi="宋体" w:eastAsia="宋体"/>
          <w:b/>
          <w:color w:val="auto"/>
          <w:sz w:val="72"/>
          <w:highlight w:val="none"/>
        </w:rPr>
      </w:pPr>
    </w:p>
    <w:p w14:paraId="396B73AB">
      <w:pPr>
        <w:jc w:val="center"/>
        <w:rPr>
          <w:rFonts w:ascii="宋体" w:hAnsi="宋体" w:eastAsia="宋体"/>
          <w:b/>
          <w:color w:val="auto"/>
          <w:sz w:val="72"/>
          <w:highlight w:val="none"/>
        </w:rPr>
      </w:pPr>
      <w:r>
        <w:rPr>
          <w:rFonts w:hint="eastAsia" w:ascii="宋体" w:hAnsi="宋体" w:eastAsia="宋体"/>
          <w:b/>
          <w:color w:val="auto"/>
          <w:sz w:val="72"/>
          <w:highlight w:val="none"/>
        </w:rPr>
        <w:t>件</w:t>
      </w:r>
    </w:p>
    <w:p w14:paraId="6871FF0E">
      <w:pPr>
        <w:spacing w:before="156" w:beforeLines="50" w:after="156" w:afterLines="50"/>
        <w:rPr>
          <w:rFonts w:ascii="宋体" w:hAnsi="宋体" w:eastAsia="宋体"/>
          <w:b/>
          <w:color w:val="auto"/>
          <w:sz w:val="32"/>
          <w:szCs w:val="32"/>
          <w:highlight w:val="none"/>
        </w:rPr>
      </w:pPr>
    </w:p>
    <w:p w14:paraId="231733E8">
      <w:pPr>
        <w:spacing w:after="156" w:afterLines="50" w:line="500" w:lineRule="exact"/>
        <w:jc w:val="center"/>
        <w:rPr>
          <w:rFonts w:ascii="宋体" w:hAnsi="宋体" w:eastAsia="宋体"/>
          <w:b/>
          <w:color w:val="auto"/>
          <w:sz w:val="28"/>
          <w:szCs w:val="28"/>
          <w:highlight w:val="none"/>
        </w:rPr>
      </w:pPr>
    </w:p>
    <w:p w14:paraId="0FB9FC19">
      <w:pPr>
        <w:spacing w:after="156" w:afterLines="50" w:line="500" w:lineRule="exact"/>
        <w:jc w:val="center"/>
        <w:rPr>
          <w:rFonts w:ascii="宋体" w:hAnsi="宋体" w:eastAsia="宋体"/>
          <w:b/>
          <w:color w:val="auto"/>
          <w:sz w:val="72"/>
          <w:highlight w:val="none"/>
        </w:rPr>
      </w:pPr>
    </w:p>
    <w:p w14:paraId="63670095">
      <w:pPr>
        <w:spacing w:after="156" w:afterLines="50" w:line="500" w:lineRule="exact"/>
        <w:ind w:firstLine="2522" w:firstLineChars="785"/>
        <w:rPr>
          <w:rFonts w:ascii="宋体" w:hAnsi="宋体" w:eastAsia="宋体"/>
          <w:b/>
          <w:color w:val="auto"/>
          <w:sz w:val="32"/>
          <w:highlight w:val="none"/>
          <w:u w:val="single"/>
        </w:rPr>
      </w:pPr>
      <w:r>
        <w:rPr>
          <w:rFonts w:hint="eastAsia" w:ascii="宋体" w:hAnsi="宋体" w:eastAsia="宋体"/>
          <w:b/>
          <w:color w:val="auto"/>
          <w:sz w:val="32"/>
          <w:highlight w:val="none"/>
        </w:rPr>
        <w:t>供应商：</w:t>
      </w:r>
      <w:r>
        <w:rPr>
          <w:rFonts w:hint="eastAsia" w:ascii="宋体" w:hAnsi="宋体" w:eastAsia="宋体"/>
          <w:b/>
          <w:color w:val="auto"/>
          <w:sz w:val="32"/>
          <w:highlight w:val="none"/>
          <w:u w:val="single"/>
        </w:rPr>
        <w:t xml:space="preserve">               </w:t>
      </w:r>
    </w:p>
    <w:p w14:paraId="3785F0F4">
      <w:pPr>
        <w:spacing w:after="156" w:afterLines="50" w:line="500" w:lineRule="exact"/>
        <w:jc w:val="center"/>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44998F45">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4C832CFA">
      <w:pPr>
        <w:spacing w:line="360" w:lineRule="auto"/>
        <w:jc w:val="center"/>
        <w:outlineLvl w:val="2"/>
        <w:rPr>
          <w:rFonts w:ascii="宋体" w:hAnsi="宋体" w:eastAsia="宋体"/>
          <w:b/>
          <w:color w:val="auto"/>
          <w:sz w:val="28"/>
          <w:szCs w:val="28"/>
          <w:highlight w:val="none"/>
        </w:rPr>
      </w:pPr>
      <w:bookmarkStart w:id="157" w:name="_Toc461056631"/>
      <w:bookmarkStart w:id="158" w:name="_Toc461053086"/>
      <w:bookmarkStart w:id="159" w:name="_Toc520983587"/>
      <w:r>
        <w:rPr>
          <w:rFonts w:hint="eastAsia" w:ascii="宋体" w:hAnsi="宋体" w:eastAsia="宋体"/>
          <w:b/>
          <w:color w:val="auto"/>
          <w:sz w:val="28"/>
          <w:szCs w:val="28"/>
          <w:highlight w:val="none"/>
        </w:rPr>
        <w:t>一</w:t>
      </w:r>
      <w:bookmarkEnd w:id="157"/>
      <w:bookmarkEnd w:id="158"/>
      <w:r>
        <w:rPr>
          <w:rFonts w:hint="eastAsia" w:ascii="宋体" w:hAnsi="宋体" w:eastAsia="宋体"/>
          <w:b/>
          <w:color w:val="auto"/>
          <w:sz w:val="28"/>
          <w:szCs w:val="28"/>
          <w:highlight w:val="none"/>
        </w:rPr>
        <w:t>、报价表格式</w:t>
      </w:r>
      <w:bookmarkEnd w:id="159"/>
    </w:p>
    <w:p w14:paraId="0419E6F5">
      <w:pPr>
        <w:spacing w:before="156" w:beforeLines="50" w:after="156" w:afterLines="50"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331D1603">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猎头服务机构遴选</w:t>
      </w:r>
      <w:r>
        <w:rPr>
          <w:rFonts w:hint="eastAsia" w:ascii="宋体" w:hAnsi="宋体" w:eastAsia="宋体"/>
          <w:b/>
          <w:color w:val="auto"/>
          <w:sz w:val="24"/>
          <w:szCs w:val="28"/>
          <w:highlight w:val="none"/>
          <w:u w:val="single"/>
        </w:rPr>
        <w:t xml:space="preserve"> </w:t>
      </w:r>
    </w:p>
    <w:p w14:paraId="7ED19FA8">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ZB202606094</w:t>
      </w:r>
      <w:r>
        <w:rPr>
          <w:rFonts w:hint="eastAsia" w:ascii="宋体" w:hAnsi="宋体" w:eastAsia="宋体"/>
          <w:b/>
          <w:color w:val="auto"/>
          <w:sz w:val="24"/>
          <w:szCs w:val="28"/>
          <w:highlight w:val="none"/>
          <w:u w:val="singl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46A1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2B6A06A">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6063" w:type="dxa"/>
            <w:tcBorders>
              <w:left w:val="single" w:color="auto" w:sz="4" w:space="0"/>
            </w:tcBorders>
          </w:tcPr>
          <w:p w14:paraId="4E2FFEF8">
            <w:pPr>
              <w:spacing w:line="360" w:lineRule="auto"/>
              <w:rPr>
                <w:rFonts w:ascii="宋体" w:hAnsi="宋体" w:eastAsia="宋体"/>
                <w:b/>
                <w:color w:val="auto"/>
                <w:sz w:val="24"/>
                <w:highlight w:val="none"/>
              </w:rPr>
            </w:pPr>
          </w:p>
        </w:tc>
      </w:tr>
      <w:tr w14:paraId="6941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7E3C479">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6063" w:type="dxa"/>
            <w:tcBorders>
              <w:left w:val="single" w:color="auto" w:sz="4" w:space="0"/>
            </w:tcBorders>
            <w:vAlign w:val="center"/>
          </w:tcPr>
          <w:p w14:paraId="64885A9B">
            <w:pPr>
              <w:widowControl/>
              <w:spacing w:line="360" w:lineRule="exact"/>
              <w:rPr>
                <w:rFonts w:ascii="宋体" w:hAnsi="宋体" w:eastAsia="宋体"/>
                <w:b/>
                <w:color w:val="auto"/>
                <w:sz w:val="24"/>
                <w:highlight w:val="none"/>
              </w:rPr>
            </w:pPr>
            <w:r>
              <w:rPr>
                <w:rFonts w:hint="eastAsia" w:ascii="宋体" w:hAnsi="宋体" w:eastAsia="宋体"/>
                <w:color w:val="auto"/>
                <w:sz w:val="24"/>
                <w:szCs w:val="28"/>
                <w:highlight w:val="none"/>
              </w:rPr>
              <w:t xml:space="preserve">全部 </w:t>
            </w:r>
          </w:p>
        </w:tc>
      </w:tr>
      <w:tr w14:paraId="04E5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5AFDFDCD">
            <w:pPr>
              <w:spacing w:line="360" w:lineRule="auto"/>
              <w:jc w:val="center"/>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收费比例</w:t>
            </w:r>
          </w:p>
          <w:p w14:paraId="34E37F54">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6063" w:type="dxa"/>
            <w:vAlign w:val="center"/>
          </w:tcPr>
          <w:p w14:paraId="2CA97F84">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Cs/>
                <w:color w:val="auto"/>
                <w:sz w:val="24"/>
                <w:highlight w:val="none"/>
                <w:lang w:eastAsia="zh-CN"/>
              </w:rPr>
            </w:pPr>
            <w:r>
              <w:rPr>
                <w:rFonts w:hint="eastAsia" w:ascii="宋体" w:hAnsi="宋体" w:eastAsia="宋体"/>
                <w:color w:val="auto"/>
                <w:sz w:val="24"/>
                <w:szCs w:val="28"/>
                <w:highlight w:val="none"/>
                <w:lang w:eastAsia="zh-CN"/>
              </w:rPr>
              <w:t>年薪</w:t>
            </w:r>
            <w:r>
              <w:rPr>
                <w:rFonts w:hint="eastAsia" w:ascii="宋体" w:hAnsi="宋体" w:eastAsia="宋体"/>
                <w:color w:val="auto"/>
                <w:sz w:val="24"/>
                <w:szCs w:val="28"/>
                <w:highlight w:val="none"/>
              </w:rPr>
              <w:t>层级</w:t>
            </w:r>
            <w:r>
              <w:rPr>
                <w:rFonts w:hint="eastAsia" w:ascii="宋体" w:hAnsi="宋体" w:eastAsia="宋体"/>
                <w:color w:val="auto"/>
                <w:sz w:val="24"/>
                <w:szCs w:val="28"/>
                <w:highlight w:val="none"/>
                <w:lang w:val="en-US" w:eastAsia="zh-CN"/>
              </w:rPr>
              <w:t>0-100万</w:t>
            </w:r>
            <w:r>
              <w:rPr>
                <w:rFonts w:hint="eastAsia" w:ascii="宋体" w:hAnsi="宋体" w:eastAsia="宋体"/>
                <w:color w:val="auto"/>
                <w:sz w:val="24"/>
                <w:szCs w:val="28"/>
                <w:highlight w:val="none"/>
              </w:rPr>
              <w:t>：</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none"/>
                <w:lang w:val="en-US" w:eastAsia="zh-CN"/>
              </w:rPr>
              <w:t>%</w:t>
            </w:r>
          </w:p>
          <w:p w14:paraId="0E3E9BC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b/>
                <w:color w:val="auto"/>
                <w:sz w:val="24"/>
                <w:highlight w:val="none"/>
                <w:lang w:eastAsia="zh-CN"/>
              </w:rPr>
            </w:pPr>
            <w:r>
              <w:rPr>
                <w:rFonts w:hint="eastAsia" w:ascii="宋体" w:hAnsi="宋体" w:eastAsia="宋体"/>
                <w:color w:val="auto"/>
                <w:sz w:val="24"/>
                <w:szCs w:val="28"/>
                <w:highlight w:val="none"/>
                <w:lang w:eastAsia="zh-CN"/>
              </w:rPr>
              <w:t>年薪</w:t>
            </w:r>
            <w:r>
              <w:rPr>
                <w:rFonts w:hint="eastAsia" w:ascii="宋体" w:hAnsi="宋体" w:eastAsia="宋体"/>
                <w:color w:val="auto"/>
                <w:sz w:val="24"/>
                <w:szCs w:val="28"/>
                <w:highlight w:val="none"/>
              </w:rPr>
              <w:t>层级</w:t>
            </w:r>
            <w:r>
              <w:rPr>
                <w:rFonts w:hint="eastAsia" w:ascii="宋体" w:hAnsi="宋体" w:eastAsia="宋体"/>
                <w:color w:val="auto"/>
                <w:sz w:val="24"/>
                <w:szCs w:val="28"/>
                <w:highlight w:val="none"/>
                <w:lang w:val="en-US" w:eastAsia="zh-CN"/>
              </w:rPr>
              <w:t>100万以上</w:t>
            </w:r>
            <w:r>
              <w:rPr>
                <w:rFonts w:hint="eastAsia" w:ascii="宋体" w:hAnsi="宋体" w:eastAsia="宋体"/>
                <w:color w:val="auto"/>
                <w:sz w:val="24"/>
                <w:szCs w:val="28"/>
                <w:highlight w:val="none"/>
              </w:rPr>
              <w:t>：</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none"/>
                <w:lang w:val="en-US" w:eastAsia="zh-CN"/>
              </w:rPr>
              <w:t>%</w:t>
            </w:r>
          </w:p>
        </w:tc>
      </w:tr>
      <w:tr w14:paraId="48FB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23FA4E1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6063" w:type="dxa"/>
          </w:tcPr>
          <w:p w14:paraId="7B337D56">
            <w:pPr>
              <w:spacing w:line="360" w:lineRule="auto"/>
              <w:rPr>
                <w:rFonts w:ascii="宋体" w:hAnsi="宋体" w:eastAsia="宋体"/>
                <w:b/>
                <w:color w:val="auto"/>
                <w:sz w:val="24"/>
                <w:highlight w:val="none"/>
              </w:rPr>
            </w:pPr>
          </w:p>
        </w:tc>
      </w:tr>
    </w:tbl>
    <w:p w14:paraId="6D21E4C6">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供应商公章：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139EB4C4">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期：             </w:t>
      </w:r>
    </w:p>
    <w:p w14:paraId="3AEBDC8A">
      <w:pPr>
        <w:adjustRightInd w:val="0"/>
        <w:snapToGrid w:val="0"/>
        <w:spacing w:line="360" w:lineRule="auto"/>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12C9C7F">
      <w:pPr>
        <w:adjustRightInd w:val="0"/>
        <w:snapToGrid w:val="0"/>
        <w:spacing w:line="360" w:lineRule="auto"/>
        <w:ind w:firstLine="482" w:firstLineChars="200"/>
        <w:jc w:val="left"/>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1.本表内容根据磋商文件要求包括了所有服务保障费用。</w:t>
      </w:r>
    </w:p>
    <w:p w14:paraId="131E5124">
      <w:pPr>
        <w:adjustRightInd w:val="0"/>
        <w:snapToGrid w:val="0"/>
        <w:spacing w:line="360" w:lineRule="auto"/>
        <w:ind w:firstLine="482" w:firstLineChars="200"/>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7498146E">
      <w:pPr>
        <w:adjustRightInd w:val="0"/>
        <w:snapToGrid w:val="0"/>
        <w:spacing w:line="360" w:lineRule="auto"/>
        <w:ind w:firstLine="482" w:firstLineChars="200"/>
        <w:rPr>
          <w:rFonts w:ascii="宋体" w:hAnsi="宋体" w:eastAsia="宋体"/>
          <w:b/>
          <w:bCs/>
          <w:color w:val="auto"/>
          <w:sz w:val="24"/>
          <w:szCs w:val="28"/>
          <w:highlight w:val="none"/>
        </w:rPr>
      </w:pPr>
    </w:p>
    <w:p w14:paraId="59425288">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7344ECF5">
      <w:pPr>
        <w:spacing w:before="156" w:beforeLines="50" w:after="156" w:afterLines="50"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239A8D48">
      <w:pPr>
        <w:spacing w:line="360" w:lineRule="auto"/>
        <w:ind w:firstLine="435"/>
        <w:jc w:val="center"/>
        <w:rPr>
          <w:rFonts w:ascii="宋体" w:hAnsi="宋体" w:eastAsia="宋体"/>
          <w:b/>
          <w:bCs/>
          <w:color w:val="auto"/>
          <w:sz w:val="24"/>
          <w:highlight w:val="none"/>
        </w:rPr>
      </w:pPr>
      <w:r>
        <w:rPr>
          <w:rFonts w:hint="eastAsia" w:ascii="宋体" w:hAnsi="宋体" w:eastAsia="宋体"/>
          <w:b/>
          <w:bCs/>
          <w:iCs/>
          <w:color w:val="auto"/>
          <w:sz w:val="24"/>
          <w:highlight w:val="none"/>
        </w:rPr>
        <w:t>（仅供参考，供应商可自行制作格式）</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8"/>
      </w:tblGrid>
      <w:tr w14:paraId="374F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0" w:type="dxa"/>
            <w:vAlign w:val="center"/>
          </w:tcPr>
          <w:p w14:paraId="5CCF2373">
            <w:pPr>
              <w:jc w:val="center"/>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3109" w:type="dxa"/>
            <w:vAlign w:val="center"/>
          </w:tcPr>
          <w:p w14:paraId="04550FAE">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1357" w:type="dxa"/>
            <w:vAlign w:val="center"/>
          </w:tcPr>
          <w:p w14:paraId="56236D24">
            <w:pPr>
              <w:jc w:val="center"/>
              <w:rPr>
                <w:rFonts w:ascii="宋体" w:hAnsi="宋体" w:eastAsia="宋体"/>
                <w:b/>
                <w:color w:val="auto"/>
                <w:sz w:val="24"/>
                <w:highlight w:val="none"/>
              </w:rPr>
            </w:pPr>
            <w:r>
              <w:rPr>
                <w:rFonts w:hint="eastAsia" w:ascii="宋体" w:hAnsi="宋体" w:eastAsia="宋体"/>
                <w:b/>
                <w:color w:val="auto"/>
                <w:sz w:val="24"/>
                <w:highlight w:val="none"/>
              </w:rPr>
              <w:t>项</w:t>
            </w:r>
          </w:p>
        </w:tc>
        <w:tc>
          <w:tcPr>
            <w:tcW w:w="1698" w:type="dxa"/>
            <w:vAlign w:val="center"/>
          </w:tcPr>
          <w:p w14:paraId="3B3CBF53">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1568" w:type="dxa"/>
            <w:vAlign w:val="center"/>
          </w:tcPr>
          <w:p w14:paraId="70859329">
            <w:pPr>
              <w:jc w:val="center"/>
              <w:rPr>
                <w:rFonts w:ascii="宋体" w:hAnsi="宋体" w:eastAsia="宋体"/>
                <w:b/>
                <w:color w:val="auto"/>
                <w:sz w:val="24"/>
                <w:highlight w:val="none"/>
              </w:rPr>
            </w:pPr>
            <w:r>
              <w:rPr>
                <w:rFonts w:hint="eastAsia" w:ascii="宋体" w:hAnsi="宋体" w:eastAsia="宋体"/>
                <w:b/>
                <w:color w:val="auto"/>
                <w:sz w:val="24"/>
                <w:highlight w:val="none"/>
              </w:rPr>
              <w:t>小计金额（元）</w:t>
            </w:r>
          </w:p>
        </w:tc>
      </w:tr>
      <w:tr w14:paraId="49C9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bottom w:val="single" w:color="auto" w:sz="4" w:space="0"/>
            </w:tcBorders>
            <w:vAlign w:val="center"/>
          </w:tcPr>
          <w:p w14:paraId="0600AC1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3109" w:type="dxa"/>
            <w:vAlign w:val="center"/>
          </w:tcPr>
          <w:p w14:paraId="20C62EB6">
            <w:pPr>
              <w:jc w:val="center"/>
              <w:rPr>
                <w:rFonts w:ascii="宋体" w:hAnsi="宋体" w:eastAsia="宋体"/>
                <w:color w:val="auto"/>
                <w:sz w:val="24"/>
                <w:highlight w:val="none"/>
              </w:rPr>
            </w:pPr>
          </w:p>
        </w:tc>
        <w:tc>
          <w:tcPr>
            <w:tcW w:w="1357" w:type="dxa"/>
            <w:vAlign w:val="center"/>
          </w:tcPr>
          <w:p w14:paraId="53F70700">
            <w:pPr>
              <w:jc w:val="center"/>
              <w:rPr>
                <w:rFonts w:ascii="宋体" w:hAnsi="宋体" w:eastAsia="宋体"/>
                <w:color w:val="auto"/>
                <w:sz w:val="24"/>
                <w:highlight w:val="none"/>
              </w:rPr>
            </w:pPr>
          </w:p>
        </w:tc>
        <w:tc>
          <w:tcPr>
            <w:tcW w:w="1698" w:type="dxa"/>
            <w:vAlign w:val="center"/>
          </w:tcPr>
          <w:p w14:paraId="4D1F2B4B">
            <w:pPr>
              <w:jc w:val="center"/>
              <w:rPr>
                <w:rFonts w:ascii="宋体" w:hAnsi="宋体" w:eastAsia="宋体"/>
                <w:color w:val="auto"/>
                <w:sz w:val="24"/>
                <w:highlight w:val="none"/>
              </w:rPr>
            </w:pPr>
          </w:p>
        </w:tc>
        <w:tc>
          <w:tcPr>
            <w:tcW w:w="1568" w:type="dxa"/>
            <w:vAlign w:val="center"/>
          </w:tcPr>
          <w:p w14:paraId="0EBE1DBB">
            <w:pPr>
              <w:jc w:val="center"/>
              <w:rPr>
                <w:rFonts w:ascii="宋体" w:hAnsi="宋体" w:eastAsia="宋体"/>
                <w:color w:val="auto"/>
                <w:sz w:val="24"/>
                <w:highlight w:val="none"/>
              </w:rPr>
            </w:pPr>
          </w:p>
        </w:tc>
      </w:tr>
      <w:tr w14:paraId="6529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F43FBAD">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3109" w:type="dxa"/>
            <w:vAlign w:val="center"/>
          </w:tcPr>
          <w:p w14:paraId="43F074F2">
            <w:pPr>
              <w:jc w:val="center"/>
              <w:rPr>
                <w:rFonts w:ascii="宋体" w:hAnsi="宋体" w:eastAsia="宋体"/>
                <w:color w:val="auto"/>
                <w:sz w:val="24"/>
                <w:highlight w:val="none"/>
              </w:rPr>
            </w:pPr>
          </w:p>
        </w:tc>
        <w:tc>
          <w:tcPr>
            <w:tcW w:w="1357" w:type="dxa"/>
            <w:vAlign w:val="center"/>
          </w:tcPr>
          <w:p w14:paraId="5F7CC80C">
            <w:pPr>
              <w:jc w:val="center"/>
              <w:rPr>
                <w:rFonts w:ascii="宋体" w:hAnsi="宋体" w:eastAsia="宋体"/>
                <w:color w:val="auto"/>
                <w:sz w:val="24"/>
                <w:highlight w:val="none"/>
              </w:rPr>
            </w:pPr>
          </w:p>
        </w:tc>
        <w:tc>
          <w:tcPr>
            <w:tcW w:w="1698" w:type="dxa"/>
            <w:vAlign w:val="center"/>
          </w:tcPr>
          <w:p w14:paraId="3BBF930A">
            <w:pPr>
              <w:jc w:val="center"/>
              <w:rPr>
                <w:rFonts w:ascii="宋体" w:hAnsi="宋体" w:eastAsia="宋体"/>
                <w:color w:val="auto"/>
                <w:sz w:val="24"/>
                <w:highlight w:val="none"/>
              </w:rPr>
            </w:pPr>
          </w:p>
        </w:tc>
        <w:tc>
          <w:tcPr>
            <w:tcW w:w="1568" w:type="dxa"/>
            <w:vAlign w:val="center"/>
          </w:tcPr>
          <w:p w14:paraId="70B874DD">
            <w:pPr>
              <w:jc w:val="center"/>
              <w:rPr>
                <w:rFonts w:ascii="宋体" w:hAnsi="宋体" w:eastAsia="宋体"/>
                <w:color w:val="auto"/>
                <w:sz w:val="24"/>
                <w:highlight w:val="none"/>
              </w:rPr>
            </w:pPr>
          </w:p>
        </w:tc>
      </w:tr>
      <w:tr w14:paraId="3DA5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0E80768A">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3109" w:type="dxa"/>
            <w:vAlign w:val="center"/>
          </w:tcPr>
          <w:p w14:paraId="0B7A2D63">
            <w:pPr>
              <w:jc w:val="center"/>
              <w:rPr>
                <w:rFonts w:ascii="宋体" w:hAnsi="宋体" w:eastAsia="宋体"/>
                <w:color w:val="auto"/>
                <w:sz w:val="24"/>
                <w:highlight w:val="none"/>
              </w:rPr>
            </w:pPr>
          </w:p>
        </w:tc>
        <w:tc>
          <w:tcPr>
            <w:tcW w:w="1357" w:type="dxa"/>
            <w:vAlign w:val="center"/>
          </w:tcPr>
          <w:p w14:paraId="5D7FE120">
            <w:pPr>
              <w:jc w:val="center"/>
              <w:rPr>
                <w:rFonts w:ascii="宋体" w:hAnsi="宋体" w:eastAsia="宋体"/>
                <w:color w:val="auto"/>
                <w:sz w:val="24"/>
                <w:highlight w:val="none"/>
              </w:rPr>
            </w:pPr>
          </w:p>
        </w:tc>
        <w:tc>
          <w:tcPr>
            <w:tcW w:w="1698" w:type="dxa"/>
            <w:vAlign w:val="center"/>
          </w:tcPr>
          <w:p w14:paraId="4261CD63">
            <w:pPr>
              <w:jc w:val="center"/>
              <w:rPr>
                <w:rFonts w:ascii="宋体" w:hAnsi="宋体" w:eastAsia="宋体"/>
                <w:color w:val="auto"/>
                <w:sz w:val="24"/>
                <w:highlight w:val="none"/>
              </w:rPr>
            </w:pPr>
          </w:p>
        </w:tc>
        <w:tc>
          <w:tcPr>
            <w:tcW w:w="1568" w:type="dxa"/>
            <w:vAlign w:val="center"/>
          </w:tcPr>
          <w:p w14:paraId="4CCADCE3">
            <w:pPr>
              <w:jc w:val="center"/>
              <w:rPr>
                <w:rFonts w:ascii="宋体" w:hAnsi="宋体" w:eastAsia="宋体"/>
                <w:color w:val="auto"/>
                <w:sz w:val="24"/>
                <w:highlight w:val="none"/>
              </w:rPr>
            </w:pPr>
          </w:p>
        </w:tc>
      </w:tr>
      <w:tr w14:paraId="6CF1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50052AAB">
            <w:pPr>
              <w:jc w:val="center"/>
              <w:rPr>
                <w:rFonts w:ascii="宋体" w:hAnsi="宋体" w:eastAsia="宋体"/>
                <w:color w:val="auto"/>
                <w:sz w:val="24"/>
                <w:highlight w:val="none"/>
              </w:rPr>
            </w:pPr>
            <w:r>
              <w:rPr>
                <w:rFonts w:ascii="宋体" w:hAnsi="宋体" w:eastAsia="宋体"/>
                <w:color w:val="auto"/>
                <w:sz w:val="24"/>
                <w:highlight w:val="none"/>
              </w:rPr>
              <w:t>…</w:t>
            </w:r>
          </w:p>
        </w:tc>
        <w:tc>
          <w:tcPr>
            <w:tcW w:w="3109" w:type="dxa"/>
            <w:vAlign w:val="center"/>
          </w:tcPr>
          <w:p w14:paraId="4C8E4480">
            <w:pPr>
              <w:jc w:val="center"/>
              <w:rPr>
                <w:rFonts w:ascii="宋体" w:hAnsi="宋体" w:eastAsia="宋体"/>
                <w:color w:val="auto"/>
                <w:sz w:val="24"/>
                <w:highlight w:val="none"/>
              </w:rPr>
            </w:pPr>
          </w:p>
        </w:tc>
        <w:tc>
          <w:tcPr>
            <w:tcW w:w="1357" w:type="dxa"/>
            <w:vAlign w:val="center"/>
          </w:tcPr>
          <w:p w14:paraId="0AB764F8">
            <w:pPr>
              <w:jc w:val="center"/>
              <w:rPr>
                <w:rFonts w:ascii="宋体" w:hAnsi="宋体" w:eastAsia="宋体"/>
                <w:color w:val="auto"/>
                <w:sz w:val="24"/>
                <w:highlight w:val="none"/>
              </w:rPr>
            </w:pPr>
          </w:p>
        </w:tc>
        <w:tc>
          <w:tcPr>
            <w:tcW w:w="1698" w:type="dxa"/>
            <w:vAlign w:val="center"/>
          </w:tcPr>
          <w:p w14:paraId="73164E68">
            <w:pPr>
              <w:jc w:val="center"/>
              <w:rPr>
                <w:rFonts w:ascii="宋体" w:hAnsi="宋体" w:eastAsia="宋体"/>
                <w:color w:val="auto"/>
                <w:sz w:val="24"/>
                <w:highlight w:val="none"/>
              </w:rPr>
            </w:pPr>
          </w:p>
        </w:tc>
        <w:tc>
          <w:tcPr>
            <w:tcW w:w="1568" w:type="dxa"/>
            <w:vAlign w:val="center"/>
          </w:tcPr>
          <w:p w14:paraId="2D8E185C">
            <w:pPr>
              <w:jc w:val="center"/>
              <w:rPr>
                <w:rFonts w:ascii="宋体" w:hAnsi="宋体" w:eastAsia="宋体"/>
                <w:color w:val="auto"/>
                <w:sz w:val="24"/>
                <w:highlight w:val="none"/>
              </w:rPr>
            </w:pPr>
          </w:p>
        </w:tc>
      </w:tr>
      <w:tr w14:paraId="786C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39737FD4">
            <w:pPr>
              <w:jc w:val="center"/>
              <w:rPr>
                <w:rFonts w:ascii="宋体" w:hAnsi="宋体" w:eastAsia="宋体"/>
                <w:color w:val="auto"/>
                <w:sz w:val="24"/>
                <w:highlight w:val="none"/>
              </w:rPr>
            </w:pPr>
          </w:p>
        </w:tc>
        <w:tc>
          <w:tcPr>
            <w:tcW w:w="3109" w:type="dxa"/>
            <w:vAlign w:val="center"/>
          </w:tcPr>
          <w:p w14:paraId="566FE5FB">
            <w:pPr>
              <w:ind w:left="-108"/>
              <w:jc w:val="center"/>
              <w:rPr>
                <w:rFonts w:ascii="宋体" w:hAnsi="宋体" w:eastAsia="宋体" w:cs="Arial"/>
                <w:color w:val="auto"/>
                <w:sz w:val="24"/>
                <w:highlight w:val="none"/>
              </w:rPr>
            </w:pPr>
          </w:p>
        </w:tc>
        <w:tc>
          <w:tcPr>
            <w:tcW w:w="1357" w:type="dxa"/>
            <w:vAlign w:val="center"/>
          </w:tcPr>
          <w:p w14:paraId="03A8B827">
            <w:pPr>
              <w:jc w:val="center"/>
              <w:rPr>
                <w:rFonts w:ascii="宋体" w:hAnsi="宋体" w:eastAsia="宋体"/>
                <w:color w:val="auto"/>
                <w:sz w:val="24"/>
                <w:highlight w:val="none"/>
              </w:rPr>
            </w:pPr>
          </w:p>
        </w:tc>
        <w:tc>
          <w:tcPr>
            <w:tcW w:w="1698" w:type="dxa"/>
            <w:vAlign w:val="center"/>
          </w:tcPr>
          <w:p w14:paraId="61A7E2A6">
            <w:pPr>
              <w:jc w:val="center"/>
              <w:rPr>
                <w:rFonts w:ascii="宋体" w:hAnsi="宋体" w:eastAsia="宋体"/>
                <w:color w:val="auto"/>
                <w:sz w:val="24"/>
                <w:highlight w:val="none"/>
              </w:rPr>
            </w:pPr>
          </w:p>
        </w:tc>
        <w:tc>
          <w:tcPr>
            <w:tcW w:w="1568" w:type="dxa"/>
            <w:vAlign w:val="center"/>
          </w:tcPr>
          <w:p w14:paraId="7C92AD30">
            <w:pPr>
              <w:jc w:val="center"/>
              <w:rPr>
                <w:rFonts w:ascii="宋体" w:hAnsi="宋体" w:eastAsia="宋体"/>
                <w:color w:val="auto"/>
                <w:sz w:val="24"/>
                <w:highlight w:val="none"/>
              </w:rPr>
            </w:pPr>
          </w:p>
        </w:tc>
      </w:tr>
      <w:tr w14:paraId="0D30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42EF79F">
            <w:pPr>
              <w:jc w:val="center"/>
              <w:rPr>
                <w:rFonts w:ascii="宋体" w:hAnsi="宋体" w:eastAsia="宋体"/>
                <w:color w:val="auto"/>
                <w:sz w:val="24"/>
                <w:highlight w:val="none"/>
              </w:rPr>
            </w:pPr>
          </w:p>
        </w:tc>
        <w:tc>
          <w:tcPr>
            <w:tcW w:w="3109" w:type="dxa"/>
            <w:vAlign w:val="center"/>
          </w:tcPr>
          <w:p w14:paraId="7210B08E">
            <w:pPr>
              <w:jc w:val="center"/>
              <w:rPr>
                <w:rFonts w:ascii="宋体" w:hAnsi="宋体" w:eastAsia="宋体"/>
                <w:color w:val="auto"/>
                <w:sz w:val="24"/>
                <w:highlight w:val="none"/>
              </w:rPr>
            </w:pPr>
            <w:r>
              <w:rPr>
                <w:rFonts w:ascii="宋体" w:hAnsi="宋体" w:eastAsia="宋体"/>
                <w:color w:val="auto"/>
                <w:sz w:val="24"/>
                <w:highlight w:val="none"/>
              </w:rPr>
              <w:t>……</w:t>
            </w:r>
          </w:p>
        </w:tc>
        <w:tc>
          <w:tcPr>
            <w:tcW w:w="1357" w:type="dxa"/>
            <w:vAlign w:val="center"/>
          </w:tcPr>
          <w:p w14:paraId="663BC292">
            <w:pPr>
              <w:jc w:val="center"/>
              <w:rPr>
                <w:rFonts w:ascii="宋体" w:hAnsi="宋体" w:eastAsia="宋体"/>
                <w:color w:val="auto"/>
                <w:sz w:val="24"/>
                <w:highlight w:val="none"/>
              </w:rPr>
            </w:pPr>
          </w:p>
        </w:tc>
        <w:tc>
          <w:tcPr>
            <w:tcW w:w="1698" w:type="dxa"/>
            <w:vAlign w:val="center"/>
          </w:tcPr>
          <w:p w14:paraId="59F4C25F">
            <w:pPr>
              <w:jc w:val="center"/>
              <w:rPr>
                <w:rFonts w:ascii="宋体" w:hAnsi="宋体" w:eastAsia="宋体"/>
                <w:color w:val="auto"/>
                <w:sz w:val="24"/>
                <w:highlight w:val="none"/>
              </w:rPr>
            </w:pPr>
          </w:p>
        </w:tc>
        <w:tc>
          <w:tcPr>
            <w:tcW w:w="1568" w:type="dxa"/>
            <w:vAlign w:val="center"/>
          </w:tcPr>
          <w:p w14:paraId="2FFD9B7B">
            <w:pPr>
              <w:jc w:val="center"/>
              <w:rPr>
                <w:rFonts w:ascii="宋体" w:hAnsi="宋体" w:eastAsia="宋体"/>
                <w:color w:val="auto"/>
                <w:sz w:val="24"/>
                <w:highlight w:val="none"/>
              </w:rPr>
            </w:pPr>
          </w:p>
        </w:tc>
      </w:tr>
      <w:tr w14:paraId="400A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vAlign w:val="center"/>
          </w:tcPr>
          <w:p w14:paraId="4A2DE39C">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1568" w:type="dxa"/>
            <w:vAlign w:val="center"/>
          </w:tcPr>
          <w:p w14:paraId="3F1109D1">
            <w:pPr>
              <w:jc w:val="center"/>
              <w:rPr>
                <w:rFonts w:ascii="宋体" w:hAnsi="宋体" w:eastAsia="宋体"/>
                <w:color w:val="auto"/>
                <w:sz w:val="24"/>
                <w:highlight w:val="none"/>
              </w:rPr>
            </w:pPr>
          </w:p>
        </w:tc>
      </w:tr>
    </w:tbl>
    <w:p w14:paraId="30F3E66F">
      <w:pPr>
        <w:spacing w:line="440" w:lineRule="exact"/>
        <w:ind w:firstLine="4800" w:firstLineChars="20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供应商公章：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5A75D549">
      <w:pPr>
        <w:spacing w:line="440" w:lineRule="exact"/>
        <w:ind w:firstLine="4800" w:firstLineChars="20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期：             </w:t>
      </w:r>
    </w:p>
    <w:p w14:paraId="0799E257">
      <w:pPr>
        <w:adjustRightInd w:val="0"/>
        <w:snapToGrid w:val="0"/>
        <w:spacing w:line="360" w:lineRule="auto"/>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5B18ED41">
      <w:pPr>
        <w:adjustRightInd w:val="0"/>
        <w:snapToGrid w:val="0"/>
        <w:spacing w:line="360" w:lineRule="auto"/>
        <w:ind w:firstLine="482" w:firstLineChars="200"/>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66A43826">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3AE254E6">
      <w:pPr>
        <w:spacing w:line="360" w:lineRule="auto"/>
        <w:jc w:val="center"/>
        <w:outlineLvl w:val="2"/>
        <w:rPr>
          <w:rFonts w:ascii="宋体" w:hAnsi="宋体" w:eastAsia="宋体"/>
          <w:b/>
          <w:color w:val="auto"/>
          <w:sz w:val="28"/>
          <w:szCs w:val="28"/>
          <w:highlight w:val="none"/>
        </w:rPr>
      </w:pPr>
      <w:bookmarkStart w:id="160" w:name="_Toc461056632"/>
      <w:bookmarkStart w:id="161" w:name="_Toc461053087"/>
      <w:bookmarkStart w:id="162" w:name="_Toc520983588"/>
      <w:r>
        <w:rPr>
          <w:rFonts w:hint="eastAsia" w:ascii="宋体" w:hAnsi="宋体" w:eastAsia="宋体"/>
          <w:b/>
          <w:color w:val="auto"/>
          <w:sz w:val="28"/>
          <w:szCs w:val="28"/>
          <w:highlight w:val="none"/>
        </w:rPr>
        <w:t>二</w:t>
      </w:r>
      <w:bookmarkEnd w:id="160"/>
      <w:bookmarkEnd w:id="161"/>
      <w:r>
        <w:rPr>
          <w:rFonts w:hint="eastAsia" w:ascii="宋体" w:hAnsi="宋体" w:eastAsia="宋体"/>
          <w:b/>
          <w:color w:val="auto"/>
          <w:sz w:val="28"/>
          <w:szCs w:val="28"/>
          <w:highlight w:val="none"/>
        </w:rPr>
        <w:t>、最后承诺报价表</w:t>
      </w:r>
      <w:bookmarkEnd w:id="162"/>
    </w:p>
    <w:p w14:paraId="3DA0B29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（本项目无多轮报价环节，供应商初次报价即为最终响应报价）</w:t>
      </w:r>
    </w:p>
    <w:p w14:paraId="5D233464">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12A76731">
      <w:pPr>
        <w:spacing w:line="360" w:lineRule="auto"/>
        <w:jc w:val="center"/>
        <w:outlineLvl w:val="2"/>
        <w:rPr>
          <w:rFonts w:ascii="宋体" w:hAnsi="宋体" w:eastAsia="宋体"/>
          <w:b/>
          <w:color w:val="auto"/>
          <w:sz w:val="28"/>
          <w:szCs w:val="28"/>
          <w:highlight w:val="none"/>
        </w:rPr>
      </w:pPr>
      <w:bookmarkStart w:id="163" w:name="_Toc520983591"/>
      <w:r>
        <w:rPr>
          <w:rFonts w:hint="eastAsia" w:ascii="宋体" w:hAnsi="宋体" w:eastAsia="宋体"/>
          <w:b/>
          <w:color w:val="auto"/>
          <w:sz w:val="28"/>
          <w:szCs w:val="28"/>
          <w:highlight w:val="none"/>
        </w:rPr>
        <w:t>三、磋商响应函</w:t>
      </w:r>
      <w:bookmarkEnd w:id="163"/>
    </w:p>
    <w:p w14:paraId="23E00DA8">
      <w:pPr>
        <w:spacing w:line="360" w:lineRule="auto"/>
        <w:jc w:val="left"/>
        <w:rPr>
          <w:rFonts w:ascii="宋体" w:hAnsi="宋体" w:eastAsia="宋体" w:cs="Arial"/>
          <w:b/>
          <w:color w:val="auto"/>
          <w:sz w:val="24"/>
          <w:highlight w:val="none"/>
        </w:rPr>
      </w:pPr>
      <w:r>
        <w:rPr>
          <w:rFonts w:hint="eastAsia" w:ascii="宋体" w:hAnsi="宋体" w:eastAsia="宋体" w:cs="Arial"/>
          <w:b/>
          <w:color w:val="auto"/>
          <w:sz w:val="24"/>
          <w:highlight w:val="none"/>
        </w:rPr>
        <w:t>致：合肥综合性国家科学中心大健康研究院</w:t>
      </w:r>
    </w:p>
    <w:p w14:paraId="0C2FA39C">
      <w:pPr>
        <w:spacing w:line="360" w:lineRule="auto"/>
        <w:ind w:firstLine="472" w:firstLineChars="196"/>
        <w:jc w:val="left"/>
        <w:rPr>
          <w:rFonts w:ascii="宋体" w:hAnsi="宋体" w:eastAsia="宋体" w:cs="Arial"/>
          <w:b/>
          <w:color w:val="auto"/>
          <w:sz w:val="24"/>
          <w:highlight w:val="none"/>
        </w:rPr>
      </w:pPr>
      <w:r>
        <w:rPr>
          <w:rFonts w:hint="eastAsia" w:ascii="宋体" w:hAnsi="宋体" w:eastAsia="宋体" w:cs="Arial"/>
          <w:b/>
          <w:color w:val="auto"/>
          <w:sz w:val="24"/>
          <w:szCs w:val="24"/>
          <w:highlight w:val="none"/>
        </w:rPr>
        <w:t>鼎信数智技术集团股份有限公司</w:t>
      </w:r>
    </w:p>
    <w:p w14:paraId="52425884">
      <w:pPr>
        <w:spacing w:line="360" w:lineRule="auto"/>
        <w:ind w:firstLine="480" w:firstLineChars="200"/>
        <w:jc w:val="left"/>
        <w:rPr>
          <w:rFonts w:ascii="宋体" w:hAnsi="宋体" w:eastAsia="宋体"/>
          <w:dstrike/>
          <w:color w:val="auto"/>
          <w:sz w:val="24"/>
          <w:highlight w:val="none"/>
        </w:rPr>
      </w:pPr>
      <w:r>
        <w:rPr>
          <w:rFonts w:hint="eastAsia" w:ascii="宋体" w:hAnsi="宋体" w:eastAsia="宋体"/>
          <w:color w:val="auto"/>
          <w:sz w:val="24"/>
          <w:highlight w:val="none"/>
        </w:rPr>
        <w:t>根据贵方的竞争性磋商公告，我方兹宣布同意如下：</w:t>
      </w:r>
    </w:p>
    <w:p w14:paraId="1024962A">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1.如我公司成交，我公司承诺愿意按磋商文件规定缴纳履约保证金和成交服务费。按本次磋商文件规定及报价承诺提供服务。</w:t>
      </w:r>
    </w:p>
    <w:p w14:paraId="5FC804BF">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2.我方根据本次磋商文件的规定，严格履行合同的责任和义务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并保证于买方要求的日期内完成服务，并通过买方验收。</w:t>
      </w:r>
    </w:p>
    <w:p w14:paraId="74DDB7E7">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3.我方承诺报价低于</w:t>
      </w:r>
      <w:r>
        <w:rPr>
          <w:rFonts w:ascii="宋体" w:hAnsi="宋体" w:eastAsia="宋体"/>
          <w:color w:val="auto"/>
          <w:sz w:val="24"/>
          <w:highlight w:val="none"/>
        </w:rPr>
        <w:t>同类</w:t>
      </w:r>
      <w:r>
        <w:rPr>
          <w:rFonts w:hint="eastAsia" w:ascii="宋体" w:hAnsi="宋体" w:eastAsia="宋体"/>
          <w:color w:val="auto"/>
          <w:sz w:val="24"/>
          <w:highlight w:val="none"/>
        </w:rPr>
        <w:t>货物和</w:t>
      </w:r>
      <w:r>
        <w:rPr>
          <w:rFonts w:ascii="宋体" w:hAnsi="宋体" w:eastAsia="宋体"/>
          <w:color w:val="auto"/>
          <w:sz w:val="24"/>
          <w:highlight w:val="none"/>
        </w:rPr>
        <w:t>服务的市场平均价格。</w:t>
      </w:r>
    </w:p>
    <w:p w14:paraId="50FF07DE">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72628DE9">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5.我方同意从供应商须知规定的磋商日期起遵循本磋商文件，并在供应商须知规定的磋商有效期之前均具有约束力。</w:t>
      </w:r>
    </w:p>
    <w:p w14:paraId="418D9215">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6.我方承诺如磋商保证金未在磋商文件规定时间前到达贵方指定的账户，我方磋商无效，由此产生的一切后果由我方承担</w:t>
      </w:r>
      <w:r>
        <w:rPr>
          <w:rFonts w:hint="eastAsia" w:ascii="宋体" w:hAnsi="宋体" w:eastAsia="宋体"/>
          <w:bCs/>
          <w:color w:val="auto"/>
          <w:sz w:val="24"/>
          <w:highlight w:val="none"/>
        </w:rPr>
        <w:t>，且承诺磋商保证金转出账户真实有效</w:t>
      </w:r>
      <w:r>
        <w:rPr>
          <w:rFonts w:hint="eastAsia" w:ascii="宋体" w:hAnsi="宋体" w:eastAsia="宋体"/>
          <w:color w:val="auto"/>
          <w:sz w:val="24"/>
          <w:highlight w:val="none"/>
        </w:rPr>
        <w:t>。</w:t>
      </w:r>
    </w:p>
    <w:p w14:paraId="481CE3E0">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7.我方同意按贵方要求在磋商现场规定时间内向贵方提供与其磋商有关的任何证据或补充资料，否则，我方的响应文件可被贵方拒绝。</w:t>
      </w:r>
    </w:p>
    <w:p w14:paraId="40213D7B">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8.我方完全理解贵方不一定接受最低报价的磋商。</w:t>
      </w:r>
    </w:p>
    <w:p w14:paraId="5C09EA9C">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9.我方对响应文件中所提供资料、文件、证书及证件的真实性和有效性负责。</w:t>
      </w:r>
    </w:p>
    <w:p w14:paraId="1FE07664">
      <w:pPr>
        <w:spacing w:line="360" w:lineRule="auto"/>
        <w:ind w:firstLine="480" w:firstLineChars="200"/>
        <w:jc w:val="left"/>
        <w:rPr>
          <w:rFonts w:ascii="宋体" w:hAnsi="宋体" w:eastAsia="宋体"/>
          <w:color w:val="auto"/>
          <w:sz w:val="24"/>
          <w:highlight w:val="none"/>
        </w:rPr>
      </w:pPr>
    </w:p>
    <w:p w14:paraId="0CDAD77E">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4C4185C6">
      <w:pPr>
        <w:spacing w:line="360" w:lineRule="auto"/>
        <w:ind w:firstLine="480" w:firstLineChars="20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3188039">
      <w:pPr>
        <w:spacing w:line="360" w:lineRule="auto"/>
        <w:ind w:firstLine="480" w:firstLineChars="200"/>
        <w:rPr>
          <w:rFonts w:ascii="宋体" w:hAnsi="宋体" w:eastAsia="宋体"/>
          <w:color w:val="auto"/>
          <w:sz w:val="24"/>
          <w:highlight w:val="none"/>
          <w:u w:val="single"/>
        </w:rPr>
      </w:pPr>
    </w:p>
    <w:p w14:paraId="752213F5">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br w:type="page"/>
      </w:r>
    </w:p>
    <w:p w14:paraId="6097104C">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四、无重大违法记录声明函、无不良信用记录声明函</w:t>
      </w:r>
    </w:p>
    <w:p w14:paraId="523197F1">
      <w:pPr>
        <w:spacing w:line="360" w:lineRule="auto"/>
        <w:jc w:val="center"/>
        <w:rPr>
          <w:rFonts w:ascii="宋体" w:hAnsi="宋体" w:eastAsia="宋体"/>
          <w:b/>
          <w:i/>
          <w:color w:val="auto"/>
          <w:sz w:val="24"/>
          <w:highlight w:val="none"/>
        </w:rPr>
      </w:pPr>
      <w:r>
        <w:rPr>
          <w:rFonts w:ascii="宋体" w:hAnsi="宋体" w:eastAsia="宋体"/>
          <w:b/>
          <w:i/>
          <w:color w:val="auto"/>
          <w:sz w:val="24"/>
          <w:highlight w:val="none"/>
        </w:rPr>
        <w:t>(</w:t>
      </w:r>
      <w:r>
        <w:rPr>
          <w:rFonts w:hint="eastAsia" w:ascii="宋体" w:hAnsi="宋体" w:eastAsia="宋体"/>
          <w:b/>
          <w:i/>
          <w:color w:val="auto"/>
          <w:sz w:val="24"/>
          <w:highlight w:val="none"/>
        </w:rPr>
        <w:t>联合体参加磋商的，联合体双方均须提供）</w:t>
      </w:r>
    </w:p>
    <w:p w14:paraId="56C81E09">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548A6E1B">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2.本单位郑重声明，我单位无以下不良信用记录情形：</w:t>
      </w:r>
    </w:p>
    <w:p w14:paraId="7193C32B">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（1）供应商被人民法院列入失信被执行人；</w:t>
      </w:r>
    </w:p>
    <w:p w14:paraId="7B5AB3D4">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（2）供应商被税务部门列入重大税收违法案件当事人名单；</w:t>
      </w:r>
    </w:p>
    <w:p w14:paraId="7E5C7E26">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（3）供应商被政府采购监管部门列入政府采购严重违法失信行为记录名单。</w:t>
      </w:r>
    </w:p>
    <w:p w14:paraId="1A39F5C0">
      <w:pPr>
        <w:spacing w:line="360" w:lineRule="auto"/>
        <w:ind w:firstLine="480" w:firstLineChars="200"/>
        <w:jc w:val="left"/>
        <w:rPr>
          <w:rFonts w:ascii="宋体" w:hAnsi="宋体" w:eastAsia="宋体"/>
          <w:color w:val="auto"/>
          <w:sz w:val="24"/>
          <w:highlight w:val="none"/>
        </w:rPr>
      </w:pPr>
    </w:p>
    <w:p w14:paraId="55FB0E5D">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23A4479">
      <w:pPr>
        <w:spacing w:line="360" w:lineRule="auto"/>
        <w:ind w:firstLine="480" w:firstLineChars="200"/>
        <w:jc w:val="right"/>
        <w:rPr>
          <w:rFonts w:ascii="宋体" w:hAnsi="宋体" w:eastAsia="宋体"/>
          <w:color w:val="auto"/>
          <w:sz w:val="24"/>
          <w:highlight w:val="none"/>
        </w:rPr>
      </w:pPr>
      <w:r>
        <w:rPr>
          <w:rFonts w:hint="eastAsia" w:ascii="宋体" w:hAnsi="宋体" w:eastAsia="宋体"/>
          <w:color w:val="auto"/>
          <w:sz w:val="24"/>
          <w:highlight w:val="none"/>
        </w:rPr>
        <w:t>供应商公章：</w:t>
      </w:r>
    </w:p>
    <w:p w14:paraId="4C12855A">
      <w:pPr>
        <w:spacing w:line="360" w:lineRule="auto"/>
        <w:ind w:firstLine="480" w:firstLineChars="200"/>
        <w:jc w:val="right"/>
        <w:rPr>
          <w:rFonts w:ascii="宋体" w:hAnsi="宋体" w:eastAsia="宋体"/>
          <w:color w:val="auto"/>
          <w:sz w:val="24"/>
          <w:highlight w:val="none"/>
        </w:rPr>
      </w:pPr>
      <w:r>
        <w:rPr>
          <w:rFonts w:hint="eastAsia" w:ascii="宋体" w:hAnsi="宋体" w:eastAsia="宋体"/>
          <w:color w:val="auto"/>
          <w:sz w:val="24"/>
          <w:highlight w:val="none"/>
        </w:rPr>
        <w:t>日      期：</w:t>
      </w:r>
    </w:p>
    <w:p w14:paraId="1E53D863">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br w:type="page"/>
      </w:r>
      <w:r>
        <w:rPr>
          <w:rFonts w:hint="eastAsia" w:ascii="宋体" w:hAnsi="宋体" w:eastAsia="宋体"/>
          <w:b/>
          <w:color w:val="auto"/>
          <w:sz w:val="28"/>
          <w:szCs w:val="28"/>
          <w:highlight w:val="none"/>
        </w:rPr>
        <w:t>五、</w:t>
      </w:r>
      <w:bookmarkStart w:id="164" w:name="_Toc121626298"/>
      <w:bookmarkStart w:id="165" w:name="_Toc520983594"/>
      <w:bookmarkStart w:id="166" w:name="_Toc204594911"/>
      <w:bookmarkStart w:id="167" w:name="_Toc516969106"/>
      <w:r>
        <w:rPr>
          <w:rFonts w:hint="eastAsia" w:ascii="宋体" w:hAnsi="宋体" w:eastAsia="宋体"/>
          <w:b/>
          <w:color w:val="auto"/>
          <w:sz w:val="28"/>
          <w:szCs w:val="28"/>
          <w:highlight w:val="none"/>
        </w:rPr>
        <w:t>授权书</w:t>
      </w:r>
      <w:bookmarkEnd w:id="164"/>
      <w:bookmarkEnd w:id="165"/>
      <w:bookmarkEnd w:id="166"/>
      <w:bookmarkEnd w:id="167"/>
    </w:p>
    <w:p w14:paraId="4578AC20">
      <w:pPr>
        <w:spacing w:line="360" w:lineRule="auto"/>
        <w:jc w:val="center"/>
        <w:rPr>
          <w:rFonts w:ascii="宋体" w:hAnsi="宋体" w:eastAsia="宋体"/>
          <w:b/>
          <w:color w:val="auto"/>
          <w:sz w:val="24"/>
          <w:highlight w:val="none"/>
        </w:rPr>
      </w:pPr>
    </w:p>
    <w:p w14:paraId="3122B515">
      <w:pPr>
        <w:snapToGrid w:val="0"/>
        <w:spacing w:line="360" w:lineRule="auto"/>
        <w:ind w:firstLine="480" w:firstLineChars="200"/>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本授权书声明：</w:t>
      </w:r>
      <w:r>
        <w:rPr>
          <w:rFonts w:hint="eastAsia" w:ascii="宋体" w:hAnsi="宋体" w:eastAsia="宋体" w:cs="黑体"/>
          <w:color w:val="auto"/>
          <w:sz w:val="24"/>
          <w:szCs w:val="28"/>
          <w:highlight w:val="none"/>
          <w:u w:val="single"/>
        </w:rPr>
        <w:t xml:space="preserve">           </w:t>
      </w:r>
      <w:r>
        <w:rPr>
          <w:rFonts w:hint="eastAsia" w:ascii="宋体" w:hAnsi="宋体" w:eastAsia="宋体" w:cs="黑体"/>
          <w:color w:val="auto"/>
          <w:sz w:val="24"/>
          <w:szCs w:val="28"/>
          <w:highlight w:val="none"/>
        </w:rPr>
        <w:t>（供应商名称）授权</w:t>
      </w:r>
      <w:r>
        <w:rPr>
          <w:rFonts w:hint="eastAsia" w:ascii="宋体" w:hAnsi="宋体" w:eastAsia="宋体" w:cs="黑体"/>
          <w:color w:val="auto"/>
          <w:sz w:val="24"/>
          <w:szCs w:val="28"/>
          <w:highlight w:val="none"/>
          <w:u w:val="single"/>
        </w:rPr>
        <w:t xml:space="preserve">       </w:t>
      </w:r>
      <w:r>
        <w:rPr>
          <w:rFonts w:hint="eastAsia" w:ascii="宋体" w:hAnsi="宋体" w:eastAsia="宋体" w:cs="黑体"/>
          <w:color w:val="auto"/>
          <w:sz w:val="24"/>
          <w:szCs w:val="28"/>
          <w:highlight w:val="none"/>
        </w:rPr>
        <w:t>（供应商授权代表姓名、职务）代表我方参加本项目</w:t>
      </w:r>
      <w:r>
        <w:rPr>
          <w:rFonts w:hint="eastAsia" w:ascii="宋体" w:hAnsi="宋体" w:eastAsia="宋体" w:cs="黑体"/>
          <w:bCs/>
          <w:color w:val="auto"/>
          <w:sz w:val="24"/>
          <w:szCs w:val="28"/>
          <w:highlight w:val="none"/>
        </w:rPr>
        <w:t>采购活动</w:t>
      </w:r>
      <w:r>
        <w:rPr>
          <w:rFonts w:hint="eastAsia" w:ascii="宋体" w:hAnsi="宋体" w:eastAsia="宋体" w:cs="黑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C68A438">
      <w:pPr>
        <w:snapToGrid w:val="0"/>
        <w:spacing w:line="360" w:lineRule="auto"/>
        <w:ind w:firstLine="480" w:firstLineChars="200"/>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本授权书自出具之日起生效。</w:t>
      </w:r>
    </w:p>
    <w:p w14:paraId="0B4A780B">
      <w:pPr>
        <w:snapToGrid w:val="0"/>
        <w:spacing w:line="360" w:lineRule="auto"/>
        <w:ind w:firstLine="482" w:firstLineChars="200"/>
        <w:jc w:val="left"/>
        <w:rPr>
          <w:rFonts w:ascii="宋体" w:hAnsi="宋体" w:eastAsia="宋体" w:cs="黑体"/>
          <w:b/>
          <w:bCs/>
          <w:color w:val="auto"/>
          <w:sz w:val="24"/>
          <w:szCs w:val="22"/>
          <w:highlight w:val="none"/>
        </w:rPr>
      </w:pPr>
      <w:r>
        <w:rPr>
          <w:rFonts w:hint="eastAsia" w:ascii="宋体" w:hAnsi="宋体" w:eastAsia="宋体" w:cs="黑体"/>
          <w:b/>
          <w:bCs/>
          <w:color w:val="auto"/>
          <w:sz w:val="24"/>
          <w:szCs w:val="28"/>
          <w:highlight w:val="none"/>
        </w:rPr>
        <w:t>授权代表</w:t>
      </w:r>
      <w:r>
        <w:rPr>
          <w:rFonts w:hint="eastAsia" w:ascii="宋体" w:hAnsi="宋体" w:eastAsia="宋体" w:cs="黑体"/>
          <w:b/>
          <w:bCs/>
          <w:color w:val="auto"/>
          <w:sz w:val="24"/>
          <w:szCs w:val="22"/>
          <w:highlight w:val="none"/>
        </w:rPr>
        <w:t>身份证明原件扫描件：</w:t>
      </w:r>
    </w:p>
    <w:p w14:paraId="39F66BAD">
      <w:pPr>
        <w:snapToGrid w:val="0"/>
        <w:spacing w:line="360" w:lineRule="auto"/>
        <w:ind w:firstLine="480" w:firstLineChars="200"/>
        <w:jc w:val="left"/>
        <w:rPr>
          <w:rFonts w:ascii="宋体" w:hAnsi="宋体" w:eastAsia="宋体" w:cs="黑体"/>
          <w:color w:val="auto"/>
          <w:sz w:val="24"/>
          <w:szCs w:val="22"/>
          <w:highlight w:val="none"/>
        </w:rPr>
      </w:pPr>
    </w:p>
    <w:p w14:paraId="3B9016DA">
      <w:pPr>
        <w:snapToGrid w:val="0"/>
        <w:spacing w:line="360" w:lineRule="auto"/>
        <w:ind w:firstLine="480" w:firstLineChars="200"/>
        <w:jc w:val="left"/>
        <w:rPr>
          <w:rFonts w:ascii="宋体" w:hAnsi="宋体" w:eastAsia="宋体" w:cs="黑体"/>
          <w:color w:val="auto"/>
          <w:sz w:val="24"/>
          <w:szCs w:val="22"/>
          <w:highlight w:val="none"/>
        </w:rPr>
      </w:pPr>
    </w:p>
    <w:p w14:paraId="158C33DE">
      <w:pPr>
        <w:snapToGrid w:val="0"/>
        <w:spacing w:line="360" w:lineRule="auto"/>
        <w:ind w:firstLine="480" w:firstLineChars="200"/>
        <w:jc w:val="left"/>
        <w:rPr>
          <w:rFonts w:ascii="宋体" w:hAnsi="宋体" w:eastAsia="宋体" w:cs="黑体"/>
          <w:color w:val="auto"/>
          <w:sz w:val="24"/>
          <w:szCs w:val="22"/>
          <w:highlight w:val="none"/>
        </w:rPr>
      </w:pPr>
    </w:p>
    <w:p w14:paraId="26EFA6E0">
      <w:pPr>
        <w:snapToGrid w:val="0"/>
        <w:spacing w:line="360" w:lineRule="auto"/>
        <w:ind w:firstLine="480" w:firstLineChars="200"/>
        <w:jc w:val="left"/>
        <w:rPr>
          <w:rFonts w:ascii="宋体" w:hAnsi="宋体" w:eastAsia="宋体" w:cs="黑体"/>
          <w:color w:val="auto"/>
          <w:sz w:val="24"/>
          <w:szCs w:val="22"/>
          <w:highlight w:val="none"/>
        </w:rPr>
      </w:pPr>
    </w:p>
    <w:p w14:paraId="1E223965">
      <w:pPr>
        <w:snapToGrid w:val="0"/>
        <w:spacing w:line="360" w:lineRule="auto"/>
        <w:ind w:firstLine="480" w:firstLineChars="200"/>
        <w:jc w:val="left"/>
        <w:rPr>
          <w:rFonts w:ascii="宋体" w:hAnsi="宋体" w:eastAsia="宋体" w:cs="黑体"/>
          <w:color w:val="auto"/>
          <w:sz w:val="24"/>
          <w:szCs w:val="28"/>
          <w:highlight w:val="none"/>
          <w:u w:val="single"/>
        </w:rPr>
      </w:pPr>
      <w:r>
        <w:rPr>
          <w:rFonts w:hint="eastAsia" w:ascii="宋体" w:hAnsi="宋体" w:eastAsia="宋体" w:cs="黑体"/>
          <w:color w:val="auto"/>
          <w:sz w:val="24"/>
          <w:szCs w:val="28"/>
          <w:highlight w:val="none"/>
        </w:rPr>
        <w:t>授权代表联系方式：</w:t>
      </w:r>
      <w:r>
        <w:rPr>
          <w:rFonts w:hint="eastAsia" w:ascii="宋体" w:hAnsi="宋体" w:eastAsia="宋体" w:cs="黑体"/>
          <w:color w:val="auto"/>
          <w:sz w:val="24"/>
          <w:szCs w:val="28"/>
          <w:highlight w:val="none"/>
          <w:u w:val="single"/>
        </w:rPr>
        <w:t xml:space="preserve">          （请填写手机号码）</w:t>
      </w:r>
    </w:p>
    <w:p w14:paraId="5AD87527">
      <w:pPr>
        <w:snapToGrid w:val="0"/>
        <w:spacing w:line="360" w:lineRule="auto"/>
        <w:ind w:firstLine="480" w:firstLineChars="200"/>
        <w:jc w:val="left"/>
        <w:rPr>
          <w:rFonts w:ascii="宋体" w:hAnsi="宋体" w:eastAsia="宋体" w:cs="黑体"/>
          <w:color w:val="auto"/>
          <w:sz w:val="24"/>
          <w:szCs w:val="28"/>
          <w:highlight w:val="none"/>
        </w:rPr>
      </w:pPr>
    </w:p>
    <w:p w14:paraId="0289A5EE">
      <w:pPr>
        <w:spacing w:line="360" w:lineRule="auto"/>
        <w:ind w:firstLine="360" w:firstLineChars="150"/>
        <w:jc w:val="left"/>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F7A607E">
      <w:pPr>
        <w:spacing w:line="360" w:lineRule="auto"/>
        <w:jc w:val="left"/>
        <w:rPr>
          <w:rFonts w:ascii="宋体" w:hAnsi="宋体" w:eastAsia="宋体"/>
          <w:color w:val="auto"/>
          <w:sz w:val="24"/>
          <w:szCs w:val="28"/>
          <w:highlight w:val="none"/>
        </w:rPr>
      </w:pPr>
    </w:p>
    <w:p w14:paraId="6E109A83">
      <w:pPr>
        <w:spacing w:line="360" w:lineRule="auto"/>
        <w:jc w:val="left"/>
        <w:rPr>
          <w:rFonts w:ascii="宋体" w:hAnsi="宋体" w:eastAsia="宋体"/>
          <w:bCs/>
          <w:color w:val="auto"/>
          <w:sz w:val="24"/>
          <w:szCs w:val="28"/>
          <w:highlight w:val="none"/>
        </w:rPr>
      </w:pPr>
      <w:r>
        <w:rPr>
          <w:rFonts w:hint="eastAsia" w:ascii="宋体" w:hAnsi="宋体" w:eastAsia="宋体"/>
          <w:bCs/>
          <w:color w:val="auto"/>
          <w:sz w:val="24"/>
          <w:szCs w:val="28"/>
          <w:highlight w:val="none"/>
        </w:rPr>
        <w:t>供应商公章：</w:t>
      </w:r>
      <w:r>
        <w:rPr>
          <w:rFonts w:hint="eastAsia" w:ascii="宋体" w:hAnsi="宋体" w:eastAsia="宋体"/>
          <w:bCs/>
          <w:color w:val="auto"/>
          <w:sz w:val="24"/>
          <w:szCs w:val="28"/>
          <w:highlight w:val="none"/>
          <w:u w:val="single"/>
        </w:rPr>
        <w:t xml:space="preserve">                    </w:t>
      </w:r>
    </w:p>
    <w:p w14:paraId="68408742">
      <w:pPr>
        <w:spacing w:line="360" w:lineRule="auto"/>
        <w:jc w:val="left"/>
        <w:rPr>
          <w:rFonts w:ascii="宋体" w:hAnsi="宋体" w:eastAsia="宋体"/>
          <w:color w:val="auto"/>
          <w:sz w:val="24"/>
          <w:szCs w:val="28"/>
          <w:highlight w:val="none"/>
        </w:rPr>
      </w:pPr>
      <w:r>
        <w:rPr>
          <w:rFonts w:hint="eastAsia" w:ascii="宋体" w:hAnsi="宋体" w:eastAsia="宋体"/>
          <w:color w:val="auto"/>
          <w:sz w:val="24"/>
          <w:szCs w:val="28"/>
          <w:highlight w:val="none"/>
        </w:rPr>
        <w:t>日      期：</w:t>
      </w:r>
      <w:r>
        <w:rPr>
          <w:rFonts w:hint="eastAsia" w:ascii="宋体" w:hAnsi="宋体" w:eastAsia="宋体"/>
          <w:color w:val="auto"/>
          <w:sz w:val="24"/>
          <w:szCs w:val="28"/>
          <w:highlight w:val="none"/>
          <w:u w:val="single"/>
        </w:rPr>
        <w:t xml:space="preserve">                    </w:t>
      </w:r>
    </w:p>
    <w:p w14:paraId="5011CA42">
      <w:pPr>
        <w:spacing w:line="360" w:lineRule="auto"/>
        <w:jc w:val="left"/>
        <w:rPr>
          <w:rFonts w:ascii="宋体" w:hAnsi="宋体" w:eastAsia="宋体"/>
          <w:color w:val="auto"/>
          <w:sz w:val="24"/>
          <w:szCs w:val="28"/>
          <w:highlight w:val="none"/>
        </w:rPr>
      </w:pPr>
    </w:p>
    <w:p w14:paraId="52AA955B">
      <w:pPr>
        <w:spacing w:line="360" w:lineRule="auto"/>
        <w:jc w:val="left"/>
        <w:rPr>
          <w:rFonts w:ascii="宋体" w:hAnsi="宋体" w:eastAsia="宋体"/>
          <w:color w:val="auto"/>
          <w:sz w:val="24"/>
          <w:szCs w:val="28"/>
          <w:highlight w:val="none"/>
        </w:rPr>
      </w:pPr>
    </w:p>
    <w:p w14:paraId="5E7A36DC">
      <w:pPr>
        <w:snapToGrid w:val="0"/>
        <w:spacing w:line="360" w:lineRule="auto"/>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注：</w:t>
      </w:r>
    </w:p>
    <w:p w14:paraId="3F666CEF">
      <w:pPr>
        <w:snapToGrid w:val="0"/>
        <w:spacing w:line="360" w:lineRule="auto"/>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1.本项目只允许有唯一的供应商授权代表，提供身份证明</w:t>
      </w:r>
      <w:r>
        <w:rPr>
          <w:rFonts w:hint="eastAsia" w:ascii="宋体" w:hAnsi="宋体" w:eastAsia="宋体" w:cs="黑体"/>
          <w:color w:val="auto"/>
          <w:sz w:val="24"/>
          <w:szCs w:val="22"/>
          <w:highlight w:val="none"/>
        </w:rPr>
        <w:t>原件扫描件</w:t>
      </w:r>
      <w:r>
        <w:rPr>
          <w:rFonts w:hint="eastAsia" w:ascii="宋体" w:hAnsi="宋体" w:eastAsia="宋体" w:cs="黑体"/>
          <w:color w:val="auto"/>
          <w:sz w:val="24"/>
          <w:szCs w:val="28"/>
          <w:highlight w:val="none"/>
        </w:rPr>
        <w:t>；</w:t>
      </w:r>
    </w:p>
    <w:p w14:paraId="6062A643">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2.法定代表人参加磋商的无需提供授权书，仅提供身份证明原件扫描件。</w:t>
      </w:r>
    </w:p>
    <w:p w14:paraId="1F4723C9">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br w:type="page"/>
      </w:r>
    </w:p>
    <w:p w14:paraId="1B1A8BB5">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六、保证金</w:t>
      </w:r>
    </w:p>
    <w:p w14:paraId="2752A29B">
      <w:pPr>
        <w:spacing w:line="360" w:lineRule="auto"/>
        <w:jc w:val="center"/>
        <w:rPr>
          <w:rFonts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本项目免收保证金)</w:t>
      </w:r>
    </w:p>
    <w:p w14:paraId="3D0DDEB7">
      <w:pPr>
        <w:spacing w:line="360" w:lineRule="auto"/>
        <w:jc w:val="left"/>
        <w:rPr>
          <w:rFonts w:ascii="宋体" w:hAnsi="宋体" w:eastAsia="宋体"/>
          <w:color w:val="auto"/>
          <w:sz w:val="24"/>
          <w:highlight w:val="none"/>
        </w:rPr>
      </w:pPr>
    </w:p>
    <w:p w14:paraId="0376C51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BE6373F">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七、磋商响应表</w:t>
      </w:r>
    </w:p>
    <w:p w14:paraId="783229B3">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7.1商务响应表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08B0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33F0CA2B">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序号</w:t>
            </w:r>
          </w:p>
        </w:tc>
        <w:tc>
          <w:tcPr>
            <w:tcW w:w="1916" w:type="dxa"/>
            <w:vAlign w:val="center"/>
          </w:tcPr>
          <w:p w14:paraId="29D602FC">
            <w:pPr>
              <w:jc w:val="center"/>
              <w:rPr>
                <w:rFonts w:ascii="宋体" w:hAnsi="宋体" w:eastAsia="宋体" w:cs="Wingdings"/>
                <w:b/>
                <w:color w:val="auto"/>
                <w:sz w:val="24"/>
                <w:szCs w:val="22"/>
                <w:highlight w:val="none"/>
              </w:rPr>
            </w:pPr>
            <w:r>
              <w:rPr>
                <w:rFonts w:hint="eastAsia" w:ascii="宋体" w:hAnsi="宋体" w:eastAsia="宋体" w:cs="黑体"/>
                <w:b/>
                <w:bCs/>
                <w:color w:val="auto"/>
                <w:sz w:val="24"/>
                <w:szCs w:val="24"/>
                <w:highlight w:val="none"/>
              </w:rPr>
              <w:t>商务条款</w:t>
            </w:r>
          </w:p>
        </w:tc>
        <w:tc>
          <w:tcPr>
            <w:tcW w:w="2497" w:type="dxa"/>
            <w:vAlign w:val="center"/>
          </w:tcPr>
          <w:p w14:paraId="5D47C05A">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磋商文件要求</w:t>
            </w:r>
          </w:p>
        </w:tc>
        <w:tc>
          <w:tcPr>
            <w:tcW w:w="2575" w:type="dxa"/>
            <w:vAlign w:val="center"/>
          </w:tcPr>
          <w:p w14:paraId="0E60D9AF">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供应商承诺</w:t>
            </w:r>
          </w:p>
        </w:tc>
        <w:tc>
          <w:tcPr>
            <w:tcW w:w="810" w:type="dxa"/>
            <w:vAlign w:val="center"/>
          </w:tcPr>
          <w:p w14:paraId="7C9E6337">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偏离说明</w:t>
            </w:r>
          </w:p>
        </w:tc>
      </w:tr>
      <w:tr w14:paraId="5E19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B38F1CC">
            <w:pPr>
              <w:jc w:val="center"/>
              <w:rPr>
                <w:rFonts w:ascii="宋体" w:hAnsi="宋体" w:eastAsia="宋体"/>
                <w:color w:val="auto"/>
                <w:sz w:val="24"/>
                <w:highlight w:val="none"/>
              </w:rPr>
            </w:pPr>
            <w:r>
              <w:rPr>
                <w:rFonts w:ascii="宋体" w:hAnsi="宋体" w:eastAsia="宋体"/>
                <w:color w:val="auto"/>
                <w:sz w:val="24"/>
                <w:highlight w:val="none"/>
              </w:rPr>
              <w:t>1</w:t>
            </w:r>
          </w:p>
        </w:tc>
        <w:tc>
          <w:tcPr>
            <w:tcW w:w="1916" w:type="dxa"/>
            <w:vAlign w:val="center"/>
          </w:tcPr>
          <w:p w14:paraId="3BB40D82">
            <w:pPr>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收费模式</w:t>
            </w:r>
          </w:p>
        </w:tc>
        <w:tc>
          <w:tcPr>
            <w:tcW w:w="2497" w:type="dxa"/>
            <w:vAlign w:val="center"/>
          </w:tcPr>
          <w:p w14:paraId="7A625F94">
            <w:pPr>
              <w:jc w:val="center"/>
              <w:rPr>
                <w:rFonts w:ascii="宋体" w:hAnsi="宋体" w:eastAsia="宋体"/>
                <w:color w:val="auto"/>
                <w:sz w:val="24"/>
                <w:highlight w:val="none"/>
              </w:rPr>
            </w:pPr>
          </w:p>
        </w:tc>
        <w:tc>
          <w:tcPr>
            <w:tcW w:w="2575" w:type="dxa"/>
            <w:vAlign w:val="center"/>
          </w:tcPr>
          <w:p w14:paraId="52A0D1D2">
            <w:pPr>
              <w:jc w:val="center"/>
              <w:rPr>
                <w:rFonts w:ascii="宋体" w:hAnsi="宋体" w:eastAsia="宋体"/>
                <w:color w:val="auto"/>
                <w:sz w:val="24"/>
                <w:highlight w:val="none"/>
              </w:rPr>
            </w:pPr>
          </w:p>
        </w:tc>
        <w:tc>
          <w:tcPr>
            <w:tcW w:w="810" w:type="dxa"/>
            <w:vAlign w:val="center"/>
          </w:tcPr>
          <w:p w14:paraId="56AAD93A">
            <w:pPr>
              <w:jc w:val="center"/>
              <w:rPr>
                <w:rFonts w:ascii="宋体" w:hAnsi="宋体" w:eastAsia="宋体"/>
                <w:color w:val="auto"/>
                <w:sz w:val="24"/>
                <w:highlight w:val="none"/>
              </w:rPr>
            </w:pPr>
          </w:p>
        </w:tc>
      </w:tr>
      <w:tr w14:paraId="4E3F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D75C6C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916" w:type="dxa"/>
            <w:vAlign w:val="center"/>
          </w:tcPr>
          <w:p w14:paraId="1860FD55">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2497" w:type="dxa"/>
            <w:vAlign w:val="center"/>
          </w:tcPr>
          <w:p w14:paraId="5655E26A">
            <w:pPr>
              <w:jc w:val="center"/>
              <w:rPr>
                <w:rFonts w:ascii="宋体" w:hAnsi="宋体" w:eastAsia="宋体"/>
                <w:color w:val="auto"/>
                <w:sz w:val="24"/>
                <w:highlight w:val="none"/>
              </w:rPr>
            </w:pPr>
          </w:p>
        </w:tc>
        <w:tc>
          <w:tcPr>
            <w:tcW w:w="2575" w:type="dxa"/>
            <w:vAlign w:val="center"/>
          </w:tcPr>
          <w:p w14:paraId="378FE25A">
            <w:pPr>
              <w:jc w:val="center"/>
              <w:rPr>
                <w:rFonts w:ascii="宋体" w:hAnsi="宋体" w:eastAsia="宋体"/>
                <w:color w:val="auto"/>
                <w:sz w:val="24"/>
                <w:highlight w:val="none"/>
              </w:rPr>
            </w:pPr>
          </w:p>
        </w:tc>
        <w:tc>
          <w:tcPr>
            <w:tcW w:w="810" w:type="dxa"/>
            <w:vAlign w:val="center"/>
          </w:tcPr>
          <w:p w14:paraId="39F23D04">
            <w:pPr>
              <w:jc w:val="center"/>
              <w:rPr>
                <w:rFonts w:ascii="宋体" w:hAnsi="宋体" w:eastAsia="宋体"/>
                <w:color w:val="auto"/>
                <w:sz w:val="24"/>
                <w:highlight w:val="none"/>
              </w:rPr>
            </w:pPr>
          </w:p>
        </w:tc>
      </w:tr>
      <w:tr w14:paraId="2B46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D18C4BD">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916" w:type="dxa"/>
            <w:vAlign w:val="center"/>
          </w:tcPr>
          <w:p w14:paraId="32D276FB">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2497" w:type="dxa"/>
            <w:vAlign w:val="center"/>
          </w:tcPr>
          <w:p w14:paraId="152FC24C">
            <w:pPr>
              <w:jc w:val="center"/>
              <w:rPr>
                <w:rFonts w:ascii="宋体" w:hAnsi="宋体" w:eastAsia="宋体"/>
                <w:color w:val="auto"/>
                <w:sz w:val="24"/>
                <w:highlight w:val="none"/>
              </w:rPr>
            </w:pPr>
          </w:p>
        </w:tc>
        <w:tc>
          <w:tcPr>
            <w:tcW w:w="2575" w:type="dxa"/>
            <w:vAlign w:val="center"/>
          </w:tcPr>
          <w:p w14:paraId="3ACA8FAD">
            <w:pPr>
              <w:jc w:val="center"/>
              <w:rPr>
                <w:rFonts w:ascii="宋体" w:hAnsi="宋体" w:eastAsia="宋体" w:cs="Arial"/>
                <w:color w:val="auto"/>
                <w:sz w:val="24"/>
                <w:highlight w:val="none"/>
              </w:rPr>
            </w:pPr>
          </w:p>
        </w:tc>
        <w:tc>
          <w:tcPr>
            <w:tcW w:w="810" w:type="dxa"/>
            <w:vAlign w:val="center"/>
          </w:tcPr>
          <w:p w14:paraId="3F7C32AA">
            <w:pPr>
              <w:jc w:val="center"/>
              <w:rPr>
                <w:rFonts w:ascii="宋体" w:hAnsi="宋体" w:eastAsia="宋体"/>
                <w:color w:val="auto"/>
                <w:sz w:val="24"/>
                <w:highlight w:val="none"/>
              </w:rPr>
            </w:pPr>
          </w:p>
        </w:tc>
      </w:tr>
      <w:tr w14:paraId="18A4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4B6DA04">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916" w:type="dxa"/>
            <w:vAlign w:val="center"/>
          </w:tcPr>
          <w:p w14:paraId="359B6705">
            <w:pPr>
              <w:jc w:val="center"/>
              <w:rPr>
                <w:rFonts w:ascii="宋体" w:hAnsi="宋体" w:eastAsia="宋体"/>
                <w:color w:val="auto"/>
                <w:sz w:val="24"/>
                <w:highlight w:val="none"/>
              </w:rPr>
            </w:pPr>
          </w:p>
        </w:tc>
        <w:tc>
          <w:tcPr>
            <w:tcW w:w="2497" w:type="dxa"/>
            <w:vAlign w:val="center"/>
          </w:tcPr>
          <w:p w14:paraId="6BB497E3">
            <w:pPr>
              <w:jc w:val="center"/>
              <w:rPr>
                <w:rFonts w:ascii="宋体" w:hAnsi="宋体" w:eastAsia="宋体"/>
                <w:color w:val="auto"/>
                <w:sz w:val="24"/>
                <w:highlight w:val="none"/>
              </w:rPr>
            </w:pPr>
          </w:p>
        </w:tc>
        <w:tc>
          <w:tcPr>
            <w:tcW w:w="2575" w:type="dxa"/>
            <w:vAlign w:val="center"/>
          </w:tcPr>
          <w:p w14:paraId="3153D4FD">
            <w:pPr>
              <w:jc w:val="center"/>
              <w:rPr>
                <w:rFonts w:ascii="宋体" w:hAnsi="宋体" w:eastAsia="宋体"/>
                <w:color w:val="auto"/>
                <w:sz w:val="24"/>
                <w:highlight w:val="none"/>
              </w:rPr>
            </w:pPr>
          </w:p>
        </w:tc>
        <w:tc>
          <w:tcPr>
            <w:tcW w:w="810" w:type="dxa"/>
            <w:vAlign w:val="center"/>
          </w:tcPr>
          <w:p w14:paraId="09EF3D45">
            <w:pPr>
              <w:jc w:val="center"/>
              <w:rPr>
                <w:rFonts w:ascii="宋体" w:hAnsi="宋体" w:eastAsia="宋体"/>
                <w:color w:val="auto"/>
                <w:sz w:val="24"/>
                <w:highlight w:val="none"/>
              </w:rPr>
            </w:pPr>
          </w:p>
        </w:tc>
      </w:tr>
    </w:tbl>
    <w:p w14:paraId="73151D6C">
      <w:pPr>
        <w:spacing w:line="360" w:lineRule="auto"/>
        <w:jc w:val="left"/>
        <w:rPr>
          <w:rFonts w:ascii="Arial" w:hAnsi="Arial" w:eastAsia="宋体" w:cs="Arial"/>
          <w:b/>
          <w:color w:val="auto"/>
          <w:sz w:val="24"/>
          <w:highlight w:val="none"/>
        </w:rPr>
      </w:pPr>
      <w:r>
        <w:rPr>
          <w:rFonts w:hint="eastAsia" w:ascii="Arial" w:hAnsi="Arial" w:eastAsia="宋体" w:cs="Arial"/>
          <w:b/>
          <w:color w:val="auto"/>
          <w:sz w:val="24"/>
          <w:highlight w:val="none"/>
        </w:rPr>
        <w:t>7</w:t>
      </w:r>
      <w:r>
        <w:rPr>
          <w:rFonts w:ascii="Arial" w:hAnsi="Arial" w:eastAsia="宋体" w:cs="Arial"/>
          <w:b/>
          <w:color w:val="auto"/>
          <w:sz w:val="24"/>
          <w:highlight w:val="none"/>
        </w:rPr>
        <w:t>.2</w:t>
      </w:r>
      <w:r>
        <w:rPr>
          <w:rFonts w:hint="eastAsia" w:ascii="Arial" w:hAnsi="Arial" w:eastAsia="宋体" w:cs="Arial"/>
          <w:b/>
          <w:color w:val="auto"/>
          <w:sz w:val="24"/>
          <w:highlight w:val="none"/>
        </w:rPr>
        <w:t>服务响应表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436C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216E48F0">
            <w:pPr>
              <w:jc w:val="center"/>
              <w:rPr>
                <w:rFonts w:ascii="Arial" w:hAnsi="Arial" w:eastAsia="宋体" w:cs="Arial"/>
                <w:b/>
                <w:color w:val="auto"/>
                <w:sz w:val="24"/>
                <w:szCs w:val="22"/>
                <w:highlight w:val="none"/>
              </w:rPr>
            </w:pPr>
            <w:r>
              <w:rPr>
                <w:rFonts w:ascii="Arial" w:hAnsi="Arial" w:eastAsia="宋体" w:cs="Arial"/>
                <w:b/>
                <w:color w:val="auto"/>
                <w:sz w:val="24"/>
                <w:szCs w:val="22"/>
                <w:highlight w:val="none"/>
              </w:rPr>
              <w:t>序号</w:t>
            </w:r>
          </w:p>
        </w:tc>
        <w:tc>
          <w:tcPr>
            <w:tcW w:w="1560" w:type="dxa"/>
            <w:vAlign w:val="center"/>
          </w:tcPr>
          <w:p w14:paraId="5F9008F0">
            <w:pPr>
              <w:jc w:val="center"/>
              <w:rPr>
                <w:rFonts w:ascii="Arial" w:hAnsi="Arial" w:eastAsia="宋体" w:cs="Arial"/>
                <w:b/>
                <w:color w:val="auto"/>
                <w:sz w:val="24"/>
                <w:szCs w:val="22"/>
                <w:highlight w:val="none"/>
              </w:rPr>
            </w:pPr>
            <w:r>
              <w:rPr>
                <w:rFonts w:hint="eastAsia" w:ascii="Arial" w:hAnsi="Arial" w:eastAsia="宋体" w:cs="Arial"/>
                <w:b/>
                <w:bCs/>
                <w:color w:val="auto"/>
                <w:sz w:val="24"/>
                <w:szCs w:val="24"/>
                <w:highlight w:val="none"/>
              </w:rPr>
              <w:t>服务项目名称</w:t>
            </w:r>
          </w:p>
        </w:tc>
        <w:tc>
          <w:tcPr>
            <w:tcW w:w="2863" w:type="dxa"/>
            <w:vAlign w:val="center"/>
          </w:tcPr>
          <w:p w14:paraId="0CC77F6B">
            <w:pPr>
              <w:jc w:val="center"/>
              <w:rPr>
                <w:rFonts w:ascii="Arial" w:hAnsi="Arial" w:eastAsia="宋体" w:cs="Arial"/>
                <w:b/>
                <w:color w:val="auto"/>
                <w:sz w:val="24"/>
                <w:szCs w:val="22"/>
                <w:highlight w:val="none"/>
              </w:rPr>
            </w:pPr>
            <w:r>
              <w:rPr>
                <w:rFonts w:hint="eastAsia" w:ascii="Arial" w:hAnsi="Arial" w:eastAsia="宋体" w:cs="Arial"/>
                <w:b/>
                <w:color w:val="auto"/>
                <w:sz w:val="24"/>
                <w:szCs w:val="22"/>
                <w:highlight w:val="none"/>
              </w:rPr>
              <w:t>磋商</w:t>
            </w:r>
            <w:r>
              <w:rPr>
                <w:rFonts w:ascii="Arial" w:hAnsi="Arial" w:eastAsia="宋体" w:cs="Arial"/>
                <w:b/>
                <w:color w:val="auto"/>
                <w:sz w:val="24"/>
                <w:szCs w:val="22"/>
                <w:highlight w:val="none"/>
              </w:rPr>
              <w:t>文件规定的</w:t>
            </w:r>
            <w:r>
              <w:rPr>
                <w:rFonts w:hint="eastAsia" w:ascii="Arial" w:hAnsi="Arial" w:eastAsia="宋体" w:cs="Arial"/>
                <w:b/>
                <w:color w:val="auto"/>
                <w:sz w:val="24"/>
                <w:szCs w:val="22"/>
                <w:highlight w:val="none"/>
              </w:rPr>
              <w:t>服务</w:t>
            </w:r>
            <w:r>
              <w:rPr>
                <w:rFonts w:ascii="Arial" w:hAnsi="Arial" w:eastAsia="宋体" w:cs="Arial"/>
                <w:b/>
                <w:color w:val="auto"/>
                <w:sz w:val="24"/>
                <w:szCs w:val="22"/>
                <w:highlight w:val="none"/>
              </w:rPr>
              <w:t>要求</w:t>
            </w:r>
          </w:p>
        </w:tc>
        <w:tc>
          <w:tcPr>
            <w:tcW w:w="2482" w:type="dxa"/>
            <w:vAlign w:val="center"/>
          </w:tcPr>
          <w:p w14:paraId="495EA840">
            <w:pPr>
              <w:jc w:val="center"/>
              <w:rPr>
                <w:rFonts w:ascii="Arial" w:hAnsi="Arial" w:eastAsia="宋体" w:cs="Arial"/>
                <w:b/>
                <w:color w:val="auto"/>
                <w:sz w:val="24"/>
                <w:szCs w:val="22"/>
                <w:highlight w:val="none"/>
              </w:rPr>
            </w:pPr>
            <w:r>
              <w:rPr>
                <w:rFonts w:hint="eastAsia" w:ascii="Arial" w:hAnsi="Arial" w:eastAsia="宋体" w:cs="Arial"/>
                <w:b/>
                <w:color w:val="auto"/>
                <w:sz w:val="24"/>
                <w:szCs w:val="22"/>
                <w:highlight w:val="none"/>
              </w:rPr>
              <w:t>响应文件的服务响应</w:t>
            </w:r>
          </w:p>
        </w:tc>
        <w:tc>
          <w:tcPr>
            <w:tcW w:w="856" w:type="dxa"/>
            <w:vAlign w:val="center"/>
          </w:tcPr>
          <w:p w14:paraId="0A9A420E">
            <w:pPr>
              <w:jc w:val="center"/>
              <w:rPr>
                <w:rFonts w:ascii="Arial" w:hAnsi="Arial" w:eastAsia="宋体" w:cs="Arial"/>
                <w:b/>
                <w:color w:val="auto"/>
                <w:sz w:val="24"/>
                <w:szCs w:val="22"/>
                <w:highlight w:val="none"/>
              </w:rPr>
            </w:pPr>
            <w:r>
              <w:rPr>
                <w:rFonts w:ascii="Arial" w:hAnsi="Arial" w:eastAsia="宋体" w:cs="Arial"/>
                <w:b/>
                <w:color w:val="auto"/>
                <w:sz w:val="24"/>
                <w:szCs w:val="22"/>
                <w:highlight w:val="none"/>
              </w:rPr>
              <w:t>偏离说明</w:t>
            </w:r>
          </w:p>
        </w:tc>
      </w:tr>
      <w:tr w14:paraId="3D2B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393AD54A">
            <w:pPr>
              <w:jc w:val="center"/>
              <w:rPr>
                <w:rFonts w:ascii="Arial" w:hAnsi="Arial" w:eastAsia="宋体" w:cs="Arial"/>
                <w:color w:val="auto"/>
                <w:sz w:val="24"/>
                <w:highlight w:val="none"/>
              </w:rPr>
            </w:pPr>
            <w:r>
              <w:rPr>
                <w:rFonts w:ascii="Arial" w:hAnsi="Arial" w:eastAsia="宋体" w:cs="Arial"/>
                <w:color w:val="auto"/>
                <w:sz w:val="24"/>
                <w:highlight w:val="none"/>
              </w:rPr>
              <w:t>1</w:t>
            </w:r>
          </w:p>
        </w:tc>
        <w:tc>
          <w:tcPr>
            <w:tcW w:w="1560" w:type="dxa"/>
            <w:vAlign w:val="center"/>
          </w:tcPr>
          <w:p w14:paraId="77F14EF6">
            <w:pPr>
              <w:jc w:val="center"/>
              <w:rPr>
                <w:rFonts w:ascii="Arial" w:hAnsi="Arial" w:eastAsia="宋体" w:cs="Arial"/>
                <w:color w:val="auto"/>
                <w:sz w:val="24"/>
                <w:highlight w:val="none"/>
              </w:rPr>
            </w:pPr>
          </w:p>
        </w:tc>
        <w:tc>
          <w:tcPr>
            <w:tcW w:w="2863" w:type="dxa"/>
            <w:vAlign w:val="center"/>
          </w:tcPr>
          <w:p w14:paraId="62F055A8">
            <w:pPr>
              <w:jc w:val="center"/>
              <w:rPr>
                <w:rFonts w:ascii="Arial" w:hAnsi="Arial" w:eastAsia="宋体" w:cs="Arial"/>
                <w:color w:val="auto"/>
                <w:sz w:val="24"/>
                <w:highlight w:val="none"/>
              </w:rPr>
            </w:pPr>
          </w:p>
        </w:tc>
        <w:tc>
          <w:tcPr>
            <w:tcW w:w="2482" w:type="dxa"/>
            <w:vAlign w:val="center"/>
          </w:tcPr>
          <w:p w14:paraId="346F2272">
            <w:pPr>
              <w:jc w:val="center"/>
              <w:rPr>
                <w:rFonts w:ascii="Arial" w:hAnsi="Arial" w:eastAsia="宋体" w:cs="Arial"/>
                <w:color w:val="auto"/>
                <w:sz w:val="24"/>
                <w:highlight w:val="none"/>
              </w:rPr>
            </w:pPr>
          </w:p>
        </w:tc>
        <w:tc>
          <w:tcPr>
            <w:tcW w:w="856" w:type="dxa"/>
            <w:vAlign w:val="center"/>
          </w:tcPr>
          <w:p w14:paraId="7D939331">
            <w:pPr>
              <w:jc w:val="center"/>
              <w:rPr>
                <w:rFonts w:ascii="Arial" w:hAnsi="Arial" w:eastAsia="宋体" w:cs="Arial"/>
                <w:color w:val="auto"/>
                <w:sz w:val="24"/>
                <w:highlight w:val="none"/>
              </w:rPr>
            </w:pPr>
          </w:p>
        </w:tc>
      </w:tr>
      <w:tr w14:paraId="1606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91ADF37">
            <w:pPr>
              <w:jc w:val="center"/>
              <w:rPr>
                <w:rFonts w:ascii="Arial" w:hAnsi="Arial" w:eastAsia="宋体" w:cs="Arial"/>
                <w:color w:val="auto"/>
                <w:sz w:val="24"/>
                <w:highlight w:val="none"/>
              </w:rPr>
            </w:pPr>
            <w:r>
              <w:rPr>
                <w:rFonts w:ascii="Arial" w:hAnsi="Arial" w:eastAsia="宋体" w:cs="Arial"/>
                <w:color w:val="auto"/>
                <w:sz w:val="24"/>
                <w:highlight w:val="none"/>
              </w:rPr>
              <w:t>2</w:t>
            </w:r>
          </w:p>
        </w:tc>
        <w:tc>
          <w:tcPr>
            <w:tcW w:w="1560" w:type="dxa"/>
            <w:vAlign w:val="center"/>
          </w:tcPr>
          <w:p w14:paraId="49847BD3">
            <w:pPr>
              <w:jc w:val="center"/>
              <w:rPr>
                <w:rFonts w:ascii="Arial" w:hAnsi="Arial" w:eastAsia="宋体" w:cs="Arial"/>
                <w:color w:val="auto"/>
                <w:sz w:val="24"/>
                <w:highlight w:val="none"/>
              </w:rPr>
            </w:pPr>
          </w:p>
        </w:tc>
        <w:tc>
          <w:tcPr>
            <w:tcW w:w="2863" w:type="dxa"/>
            <w:vAlign w:val="center"/>
          </w:tcPr>
          <w:p w14:paraId="0BA736B1">
            <w:pPr>
              <w:jc w:val="center"/>
              <w:rPr>
                <w:rFonts w:ascii="Arial" w:hAnsi="Arial" w:eastAsia="宋体" w:cs="Arial"/>
                <w:color w:val="auto"/>
                <w:sz w:val="24"/>
                <w:highlight w:val="none"/>
              </w:rPr>
            </w:pPr>
          </w:p>
        </w:tc>
        <w:tc>
          <w:tcPr>
            <w:tcW w:w="2482" w:type="dxa"/>
            <w:vAlign w:val="center"/>
          </w:tcPr>
          <w:p w14:paraId="74F0DB13">
            <w:pPr>
              <w:jc w:val="center"/>
              <w:rPr>
                <w:rFonts w:ascii="Arial" w:hAnsi="Arial" w:eastAsia="宋体" w:cs="Arial"/>
                <w:color w:val="auto"/>
                <w:sz w:val="24"/>
                <w:highlight w:val="none"/>
              </w:rPr>
            </w:pPr>
          </w:p>
        </w:tc>
        <w:tc>
          <w:tcPr>
            <w:tcW w:w="856" w:type="dxa"/>
            <w:vAlign w:val="center"/>
          </w:tcPr>
          <w:p w14:paraId="2B17C951">
            <w:pPr>
              <w:jc w:val="center"/>
              <w:rPr>
                <w:rFonts w:ascii="Arial" w:hAnsi="Arial" w:eastAsia="宋体" w:cs="Arial"/>
                <w:color w:val="auto"/>
                <w:sz w:val="24"/>
                <w:highlight w:val="none"/>
              </w:rPr>
            </w:pPr>
          </w:p>
        </w:tc>
      </w:tr>
      <w:tr w14:paraId="5DA5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149B5C2">
            <w:pPr>
              <w:jc w:val="center"/>
              <w:rPr>
                <w:rFonts w:ascii="Arial" w:hAnsi="Arial" w:eastAsia="宋体" w:cs="Arial"/>
                <w:color w:val="auto"/>
                <w:sz w:val="24"/>
                <w:highlight w:val="none"/>
              </w:rPr>
            </w:pPr>
            <w:r>
              <w:rPr>
                <w:rFonts w:ascii="Arial" w:hAnsi="Arial" w:eastAsia="宋体" w:cs="Arial"/>
                <w:color w:val="auto"/>
                <w:sz w:val="24"/>
                <w:highlight w:val="none"/>
              </w:rPr>
              <w:t>3</w:t>
            </w:r>
          </w:p>
        </w:tc>
        <w:tc>
          <w:tcPr>
            <w:tcW w:w="1560" w:type="dxa"/>
            <w:vAlign w:val="center"/>
          </w:tcPr>
          <w:p w14:paraId="0CD9EFE4">
            <w:pPr>
              <w:jc w:val="center"/>
              <w:rPr>
                <w:rFonts w:ascii="Arial" w:hAnsi="Arial" w:eastAsia="宋体" w:cs="Arial"/>
                <w:color w:val="auto"/>
                <w:sz w:val="24"/>
                <w:highlight w:val="none"/>
              </w:rPr>
            </w:pPr>
          </w:p>
        </w:tc>
        <w:tc>
          <w:tcPr>
            <w:tcW w:w="2863" w:type="dxa"/>
            <w:vAlign w:val="center"/>
          </w:tcPr>
          <w:p w14:paraId="1EFA63C3">
            <w:pPr>
              <w:jc w:val="center"/>
              <w:rPr>
                <w:rFonts w:ascii="Arial" w:hAnsi="Arial" w:eastAsia="宋体" w:cs="Arial"/>
                <w:color w:val="auto"/>
                <w:sz w:val="24"/>
                <w:highlight w:val="none"/>
              </w:rPr>
            </w:pPr>
          </w:p>
        </w:tc>
        <w:tc>
          <w:tcPr>
            <w:tcW w:w="2482" w:type="dxa"/>
            <w:vAlign w:val="center"/>
          </w:tcPr>
          <w:p w14:paraId="4B3D7232">
            <w:pPr>
              <w:jc w:val="center"/>
              <w:rPr>
                <w:rFonts w:ascii="Arial" w:hAnsi="Arial" w:eastAsia="宋体" w:cs="Arial"/>
                <w:color w:val="auto"/>
                <w:sz w:val="24"/>
                <w:highlight w:val="none"/>
              </w:rPr>
            </w:pPr>
          </w:p>
        </w:tc>
        <w:tc>
          <w:tcPr>
            <w:tcW w:w="856" w:type="dxa"/>
            <w:vAlign w:val="center"/>
          </w:tcPr>
          <w:p w14:paraId="4B9B35E4">
            <w:pPr>
              <w:jc w:val="center"/>
              <w:rPr>
                <w:rFonts w:ascii="Arial" w:hAnsi="Arial" w:eastAsia="宋体" w:cs="Arial"/>
                <w:color w:val="auto"/>
                <w:sz w:val="24"/>
                <w:highlight w:val="none"/>
              </w:rPr>
            </w:pPr>
          </w:p>
        </w:tc>
      </w:tr>
      <w:tr w14:paraId="700E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87982A4">
            <w:pPr>
              <w:jc w:val="center"/>
              <w:rPr>
                <w:rFonts w:ascii="Arial" w:hAnsi="Arial" w:eastAsia="宋体" w:cs="Arial"/>
                <w:color w:val="auto"/>
                <w:sz w:val="24"/>
                <w:highlight w:val="none"/>
              </w:rPr>
            </w:pPr>
            <w:r>
              <w:rPr>
                <w:rFonts w:ascii="Arial" w:hAnsi="Arial" w:eastAsia="宋体" w:cs="Arial"/>
                <w:color w:val="auto"/>
                <w:sz w:val="24"/>
                <w:highlight w:val="none"/>
              </w:rPr>
              <w:t>4</w:t>
            </w:r>
          </w:p>
        </w:tc>
        <w:tc>
          <w:tcPr>
            <w:tcW w:w="1560" w:type="dxa"/>
            <w:vAlign w:val="center"/>
          </w:tcPr>
          <w:p w14:paraId="5776EB02">
            <w:pPr>
              <w:jc w:val="center"/>
              <w:rPr>
                <w:rFonts w:ascii="Arial" w:hAnsi="Arial" w:eastAsia="宋体" w:cs="Arial"/>
                <w:color w:val="auto"/>
                <w:sz w:val="24"/>
                <w:highlight w:val="none"/>
              </w:rPr>
            </w:pPr>
          </w:p>
        </w:tc>
        <w:tc>
          <w:tcPr>
            <w:tcW w:w="2863" w:type="dxa"/>
            <w:vAlign w:val="center"/>
          </w:tcPr>
          <w:p w14:paraId="26285592">
            <w:pPr>
              <w:jc w:val="center"/>
              <w:rPr>
                <w:rFonts w:ascii="Arial" w:hAnsi="Arial" w:eastAsia="宋体" w:cs="Arial"/>
                <w:color w:val="auto"/>
                <w:sz w:val="24"/>
                <w:highlight w:val="none"/>
              </w:rPr>
            </w:pPr>
          </w:p>
        </w:tc>
        <w:tc>
          <w:tcPr>
            <w:tcW w:w="2482" w:type="dxa"/>
            <w:vAlign w:val="center"/>
          </w:tcPr>
          <w:p w14:paraId="08810B5B">
            <w:pPr>
              <w:jc w:val="center"/>
              <w:rPr>
                <w:rFonts w:ascii="Arial" w:hAnsi="Arial" w:eastAsia="宋体" w:cs="Arial"/>
                <w:color w:val="auto"/>
                <w:sz w:val="24"/>
                <w:highlight w:val="none"/>
              </w:rPr>
            </w:pPr>
          </w:p>
        </w:tc>
        <w:tc>
          <w:tcPr>
            <w:tcW w:w="856" w:type="dxa"/>
            <w:vAlign w:val="center"/>
          </w:tcPr>
          <w:p w14:paraId="06D47A11">
            <w:pPr>
              <w:jc w:val="center"/>
              <w:rPr>
                <w:rFonts w:ascii="Arial" w:hAnsi="Arial" w:eastAsia="宋体" w:cs="Arial"/>
                <w:color w:val="auto"/>
                <w:sz w:val="24"/>
                <w:highlight w:val="none"/>
              </w:rPr>
            </w:pPr>
          </w:p>
        </w:tc>
      </w:tr>
      <w:tr w14:paraId="7D20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730E5E0">
            <w:pPr>
              <w:jc w:val="center"/>
              <w:rPr>
                <w:rFonts w:ascii="Arial" w:hAnsi="Arial" w:eastAsia="宋体" w:cs="Arial"/>
                <w:color w:val="auto"/>
                <w:sz w:val="24"/>
                <w:highlight w:val="none"/>
              </w:rPr>
            </w:pPr>
            <w:r>
              <w:rPr>
                <w:rFonts w:ascii="Arial" w:hAnsi="Arial" w:eastAsia="宋体" w:cs="Arial"/>
                <w:color w:val="auto"/>
                <w:sz w:val="24"/>
                <w:highlight w:val="none"/>
              </w:rPr>
              <w:t>…</w:t>
            </w:r>
          </w:p>
        </w:tc>
        <w:tc>
          <w:tcPr>
            <w:tcW w:w="1560" w:type="dxa"/>
            <w:vAlign w:val="center"/>
          </w:tcPr>
          <w:p w14:paraId="3BB61561">
            <w:pPr>
              <w:jc w:val="center"/>
              <w:rPr>
                <w:rFonts w:ascii="Arial" w:hAnsi="Arial" w:eastAsia="宋体" w:cs="Arial"/>
                <w:color w:val="auto"/>
                <w:sz w:val="24"/>
                <w:highlight w:val="none"/>
              </w:rPr>
            </w:pPr>
          </w:p>
        </w:tc>
        <w:tc>
          <w:tcPr>
            <w:tcW w:w="2863" w:type="dxa"/>
            <w:vAlign w:val="center"/>
          </w:tcPr>
          <w:p w14:paraId="413DAA5F">
            <w:pPr>
              <w:jc w:val="center"/>
              <w:rPr>
                <w:rFonts w:ascii="Arial" w:hAnsi="Arial" w:eastAsia="宋体" w:cs="Arial"/>
                <w:color w:val="auto"/>
                <w:sz w:val="24"/>
                <w:highlight w:val="none"/>
              </w:rPr>
            </w:pPr>
          </w:p>
        </w:tc>
        <w:tc>
          <w:tcPr>
            <w:tcW w:w="2482" w:type="dxa"/>
            <w:vAlign w:val="center"/>
          </w:tcPr>
          <w:p w14:paraId="25794CFF">
            <w:pPr>
              <w:jc w:val="center"/>
              <w:rPr>
                <w:rFonts w:ascii="Arial" w:hAnsi="Arial" w:eastAsia="宋体" w:cs="Arial"/>
                <w:color w:val="auto"/>
                <w:sz w:val="24"/>
                <w:highlight w:val="none"/>
              </w:rPr>
            </w:pPr>
          </w:p>
        </w:tc>
        <w:tc>
          <w:tcPr>
            <w:tcW w:w="856" w:type="dxa"/>
            <w:vAlign w:val="center"/>
          </w:tcPr>
          <w:p w14:paraId="2DB9F8C9">
            <w:pPr>
              <w:jc w:val="center"/>
              <w:rPr>
                <w:rFonts w:ascii="Arial" w:hAnsi="Arial" w:eastAsia="宋体" w:cs="Arial"/>
                <w:color w:val="auto"/>
                <w:sz w:val="24"/>
                <w:highlight w:val="none"/>
              </w:rPr>
            </w:pPr>
          </w:p>
        </w:tc>
      </w:tr>
    </w:tbl>
    <w:p w14:paraId="6AECBE14">
      <w:pPr>
        <w:spacing w:line="360" w:lineRule="auto"/>
        <w:rPr>
          <w:rFonts w:ascii="宋体" w:hAnsi="宋体" w:eastAsia="宋体" w:cs="Arial"/>
          <w:b/>
          <w:color w:val="auto"/>
          <w:sz w:val="24"/>
          <w:highlight w:val="none"/>
        </w:rPr>
      </w:pPr>
    </w:p>
    <w:p w14:paraId="3D7AE1CF">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br w:type="page"/>
      </w:r>
      <w:r>
        <w:rPr>
          <w:rFonts w:hint="eastAsia" w:ascii="宋体" w:hAnsi="宋体" w:eastAsia="宋体"/>
          <w:b/>
          <w:color w:val="auto"/>
          <w:sz w:val="28"/>
          <w:szCs w:val="28"/>
          <w:highlight w:val="none"/>
        </w:rPr>
        <w:t>八、人员配备</w:t>
      </w:r>
    </w:p>
    <w:p w14:paraId="601C6F91">
      <w:pPr>
        <w:spacing w:line="360" w:lineRule="auto"/>
        <w:jc w:val="center"/>
        <w:rPr>
          <w:rFonts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供应商</w:t>
      </w:r>
      <w:r>
        <w:rPr>
          <w:rFonts w:ascii="宋体" w:hAnsi="宋体" w:eastAsia="宋体"/>
          <w:i/>
          <w:color w:val="auto"/>
          <w:sz w:val="24"/>
          <w:highlight w:val="none"/>
        </w:rPr>
        <w:t>可自行制作格式)</w:t>
      </w:r>
    </w:p>
    <w:p w14:paraId="1C27FCFB">
      <w:pPr>
        <w:keepNext/>
        <w:keepLines/>
        <w:spacing w:before="260" w:after="260" w:line="413" w:lineRule="auto"/>
        <w:outlineLvl w:val="2"/>
        <w:rPr>
          <w:b/>
          <w:color w:val="auto"/>
          <w:sz w:val="32"/>
          <w:highlight w:val="none"/>
        </w:rPr>
      </w:pPr>
    </w:p>
    <w:p w14:paraId="3B789FA8">
      <w:pPr>
        <w:spacing w:line="360" w:lineRule="auto"/>
        <w:jc w:val="center"/>
        <w:outlineLvl w:val="2"/>
        <w:rPr>
          <w:rFonts w:hint="eastAsia" w:ascii="宋体" w:hAnsi="宋体" w:eastAsia="宋体"/>
          <w:b/>
          <w:color w:val="auto"/>
          <w:sz w:val="28"/>
          <w:szCs w:val="28"/>
          <w:highlight w:val="none"/>
          <w:lang w:eastAsia="zh-CN"/>
        </w:rPr>
      </w:pPr>
      <w:r>
        <w:rPr>
          <w:rFonts w:hint="eastAsia" w:ascii="宋体" w:hAnsi="宋体" w:eastAsia="宋体"/>
          <w:b/>
          <w:color w:val="auto"/>
          <w:sz w:val="28"/>
          <w:szCs w:val="28"/>
          <w:highlight w:val="none"/>
        </w:rPr>
        <w:t>九、方案</w:t>
      </w:r>
      <w:r>
        <w:rPr>
          <w:rFonts w:hint="eastAsia" w:ascii="宋体" w:hAnsi="宋体" w:eastAsia="宋体"/>
          <w:b/>
          <w:color w:val="auto"/>
          <w:sz w:val="28"/>
          <w:szCs w:val="28"/>
          <w:highlight w:val="none"/>
          <w:lang w:eastAsia="zh-CN"/>
        </w:rPr>
        <w:t>部分</w:t>
      </w:r>
    </w:p>
    <w:p w14:paraId="0F16461C">
      <w:pPr>
        <w:spacing w:line="360" w:lineRule="auto"/>
        <w:jc w:val="center"/>
        <w:outlineLvl w:val="2"/>
        <w:rPr>
          <w:rFonts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供应商</w:t>
      </w:r>
      <w:r>
        <w:rPr>
          <w:rFonts w:ascii="宋体" w:hAnsi="宋体" w:eastAsia="宋体"/>
          <w:i/>
          <w:color w:val="auto"/>
          <w:sz w:val="24"/>
          <w:highlight w:val="none"/>
        </w:rPr>
        <w:t>可自行制作格式)</w:t>
      </w:r>
    </w:p>
    <w:p w14:paraId="45A3A9FA">
      <w:pPr>
        <w:spacing w:line="360" w:lineRule="auto"/>
        <w:jc w:val="center"/>
        <w:outlineLvl w:val="2"/>
        <w:rPr>
          <w:rFonts w:hint="eastAsia" w:ascii="宋体" w:hAnsi="宋体" w:eastAsia="宋体"/>
          <w:b/>
          <w:color w:val="auto"/>
          <w:sz w:val="28"/>
          <w:szCs w:val="28"/>
          <w:highlight w:val="none"/>
        </w:rPr>
      </w:pPr>
    </w:p>
    <w:p w14:paraId="43B321BD">
      <w:pPr>
        <w:spacing w:line="360" w:lineRule="auto"/>
        <w:jc w:val="center"/>
        <w:outlineLvl w:val="2"/>
        <w:rPr>
          <w:rFonts w:hint="eastAsia"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十</w:t>
      </w:r>
      <w:r>
        <w:rPr>
          <w:rFonts w:hint="eastAsia" w:ascii="宋体" w:hAnsi="宋体" w:eastAsia="宋体"/>
          <w:b/>
          <w:color w:val="auto"/>
          <w:sz w:val="28"/>
          <w:szCs w:val="28"/>
          <w:highlight w:val="none"/>
        </w:rPr>
        <w:t>、增值服务</w:t>
      </w:r>
      <w:r>
        <w:rPr>
          <w:rFonts w:hint="eastAsia" w:ascii="宋体" w:hAnsi="宋体" w:eastAsia="宋体"/>
          <w:b/>
          <w:color w:val="auto"/>
          <w:sz w:val="28"/>
          <w:szCs w:val="28"/>
          <w:highlight w:val="none"/>
          <w:lang w:eastAsia="zh-CN"/>
        </w:rPr>
        <w:t>部分</w:t>
      </w:r>
    </w:p>
    <w:p w14:paraId="220BC31C">
      <w:pPr>
        <w:spacing w:line="360" w:lineRule="auto"/>
        <w:jc w:val="center"/>
        <w:rPr>
          <w:rFonts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供应商</w:t>
      </w:r>
      <w:r>
        <w:rPr>
          <w:rFonts w:ascii="宋体" w:hAnsi="宋体" w:eastAsia="宋体"/>
          <w:i/>
          <w:color w:val="auto"/>
          <w:sz w:val="24"/>
          <w:highlight w:val="none"/>
        </w:rPr>
        <w:t>可自行制作格式)</w:t>
      </w:r>
    </w:p>
    <w:p w14:paraId="631FAC15">
      <w:pPr>
        <w:spacing w:line="360" w:lineRule="auto"/>
        <w:jc w:val="center"/>
        <w:rPr>
          <w:rFonts w:ascii="宋体" w:hAnsi="宋体" w:eastAsia="宋体"/>
          <w:i/>
          <w:color w:val="auto"/>
          <w:sz w:val="24"/>
          <w:highlight w:val="none"/>
        </w:rPr>
      </w:pPr>
    </w:p>
    <w:p w14:paraId="4AEA948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79DE4AE">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十</w:t>
      </w:r>
      <w:r>
        <w:rPr>
          <w:rFonts w:hint="eastAsia" w:ascii="宋体" w:hAnsi="宋体" w:eastAsia="宋体"/>
          <w:b/>
          <w:color w:val="auto"/>
          <w:sz w:val="28"/>
          <w:szCs w:val="28"/>
          <w:highlight w:val="none"/>
          <w:lang w:eastAsia="zh-CN"/>
        </w:rPr>
        <w:t>一</w:t>
      </w:r>
      <w:r>
        <w:rPr>
          <w:rFonts w:hint="eastAsia" w:ascii="宋体" w:hAnsi="宋体" w:eastAsia="宋体"/>
          <w:b/>
          <w:color w:val="auto"/>
          <w:sz w:val="28"/>
          <w:szCs w:val="28"/>
          <w:highlight w:val="none"/>
        </w:rPr>
        <w:t>、磋商业绩承诺函</w:t>
      </w:r>
    </w:p>
    <w:p w14:paraId="7969909B">
      <w:pPr>
        <w:spacing w:line="360" w:lineRule="auto"/>
        <w:ind w:firstLine="435"/>
        <w:rPr>
          <w:rFonts w:ascii="宋体" w:hAnsi="宋体" w:eastAsia="宋体"/>
          <w:color w:val="auto"/>
          <w:sz w:val="24"/>
          <w:highlight w:val="none"/>
        </w:rPr>
      </w:pPr>
    </w:p>
    <w:p w14:paraId="5368C9E4">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我单位同意成交公告中公示以下业绩并承诺：响应文件中所提供的业绩均真实有效，若被发现存在任何虚假、隐瞒情况，我单位承担由此产生的一切后果。</w:t>
      </w:r>
    </w:p>
    <w:p w14:paraId="7F3E577C">
      <w:pPr>
        <w:spacing w:line="360" w:lineRule="auto"/>
        <w:ind w:firstLine="435"/>
        <w:rPr>
          <w:rFonts w:ascii="宋体" w:hAnsi="宋体" w:eastAsia="宋体"/>
          <w:color w:val="auto"/>
          <w:sz w:val="24"/>
          <w:highlight w:val="none"/>
        </w:rPr>
      </w:pPr>
    </w:p>
    <w:p w14:paraId="08E21FD2">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4731C3EB">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1117671">
      <w:pPr>
        <w:tabs>
          <w:tab w:val="left" w:pos="630"/>
        </w:tabs>
        <w:spacing w:line="360" w:lineRule="auto"/>
        <w:ind w:firstLine="3700" w:firstLineChars="1762"/>
        <w:rPr>
          <w:rFonts w:ascii="宋体" w:hAnsi="宋体" w:eastAsia="宋体"/>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578B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3980AD0F">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4106" w:type="dxa"/>
            <w:vAlign w:val="center"/>
          </w:tcPr>
          <w:p w14:paraId="0FFC2E1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项目名称</w:t>
            </w:r>
          </w:p>
        </w:tc>
        <w:tc>
          <w:tcPr>
            <w:tcW w:w="2528" w:type="dxa"/>
            <w:vAlign w:val="center"/>
          </w:tcPr>
          <w:p w14:paraId="17AC9AD4">
            <w:pPr>
              <w:widowControl/>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服务范围</w:t>
            </w:r>
          </w:p>
        </w:tc>
        <w:tc>
          <w:tcPr>
            <w:tcW w:w="948" w:type="dxa"/>
            <w:vAlign w:val="center"/>
          </w:tcPr>
          <w:p w14:paraId="0A295B64">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r>
      <w:tr w14:paraId="3D5F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9BC1723">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4106" w:type="dxa"/>
            <w:vAlign w:val="center"/>
          </w:tcPr>
          <w:p w14:paraId="2480754A">
            <w:pPr>
              <w:spacing w:line="360" w:lineRule="auto"/>
              <w:rPr>
                <w:rFonts w:ascii="宋体" w:hAnsi="宋体" w:eastAsia="宋体"/>
                <w:color w:val="auto"/>
                <w:sz w:val="24"/>
                <w:szCs w:val="24"/>
                <w:highlight w:val="none"/>
              </w:rPr>
            </w:pPr>
          </w:p>
        </w:tc>
        <w:tc>
          <w:tcPr>
            <w:tcW w:w="2528" w:type="dxa"/>
            <w:vAlign w:val="center"/>
          </w:tcPr>
          <w:p w14:paraId="4BCF52F2">
            <w:pPr>
              <w:spacing w:line="360" w:lineRule="auto"/>
              <w:rPr>
                <w:rFonts w:ascii="宋体" w:hAnsi="宋体" w:eastAsia="宋体"/>
                <w:color w:val="auto"/>
                <w:sz w:val="24"/>
                <w:szCs w:val="24"/>
                <w:highlight w:val="none"/>
              </w:rPr>
            </w:pPr>
          </w:p>
        </w:tc>
        <w:tc>
          <w:tcPr>
            <w:tcW w:w="948" w:type="dxa"/>
            <w:vAlign w:val="center"/>
          </w:tcPr>
          <w:p w14:paraId="282602E5">
            <w:pPr>
              <w:spacing w:line="360" w:lineRule="auto"/>
              <w:rPr>
                <w:rFonts w:ascii="宋体" w:hAnsi="宋体" w:eastAsia="宋体"/>
                <w:color w:val="auto"/>
                <w:sz w:val="24"/>
                <w:szCs w:val="24"/>
                <w:highlight w:val="none"/>
              </w:rPr>
            </w:pPr>
          </w:p>
        </w:tc>
      </w:tr>
      <w:tr w14:paraId="5B02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BB5E018">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4106" w:type="dxa"/>
            <w:vAlign w:val="center"/>
          </w:tcPr>
          <w:p w14:paraId="7F92964E">
            <w:pPr>
              <w:spacing w:line="360" w:lineRule="auto"/>
              <w:rPr>
                <w:rFonts w:ascii="宋体" w:hAnsi="宋体" w:eastAsia="宋体"/>
                <w:color w:val="auto"/>
                <w:sz w:val="24"/>
                <w:szCs w:val="24"/>
                <w:highlight w:val="none"/>
              </w:rPr>
            </w:pPr>
          </w:p>
        </w:tc>
        <w:tc>
          <w:tcPr>
            <w:tcW w:w="2528" w:type="dxa"/>
            <w:vAlign w:val="center"/>
          </w:tcPr>
          <w:p w14:paraId="2A90AD13">
            <w:pPr>
              <w:spacing w:line="360" w:lineRule="auto"/>
              <w:rPr>
                <w:rFonts w:ascii="宋体" w:hAnsi="宋体" w:eastAsia="宋体"/>
                <w:color w:val="auto"/>
                <w:sz w:val="24"/>
                <w:szCs w:val="24"/>
                <w:highlight w:val="none"/>
              </w:rPr>
            </w:pPr>
          </w:p>
        </w:tc>
        <w:tc>
          <w:tcPr>
            <w:tcW w:w="948" w:type="dxa"/>
            <w:vAlign w:val="center"/>
          </w:tcPr>
          <w:p w14:paraId="4DB7D403">
            <w:pPr>
              <w:spacing w:line="360" w:lineRule="auto"/>
              <w:rPr>
                <w:rFonts w:ascii="宋体" w:hAnsi="宋体" w:eastAsia="宋体"/>
                <w:color w:val="auto"/>
                <w:sz w:val="24"/>
                <w:szCs w:val="24"/>
                <w:highlight w:val="none"/>
              </w:rPr>
            </w:pPr>
          </w:p>
        </w:tc>
      </w:tr>
      <w:tr w14:paraId="7DEC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B2A9EC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4106" w:type="dxa"/>
            <w:vAlign w:val="center"/>
          </w:tcPr>
          <w:p w14:paraId="78F53662">
            <w:pPr>
              <w:spacing w:line="360" w:lineRule="auto"/>
              <w:rPr>
                <w:rFonts w:ascii="宋体" w:hAnsi="宋体" w:eastAsia="宋体"/>
                <w:color w:val="auto"/>
                <w:sz w:val="24"/>
                <w:szCs w:val="24"/>
                <w:highlight w:val="none"/>
              </w:rPr>
            </w:pPr>
          </w:p>
        </w:tc>
        <w:tc>
          <w:tcPr>
            <w:tcW w:w="2528" w:type="dxa"/>
            <w:vAlign w:val="center"/>
          </w:tcPr>
          <w:p w14:paraId="5096BA42">
            <w:pPr>
              <w:spacing w:line="360" w:lineRule="auto"/>
              <w:rPr>
                <w:rFonts w:ascii="宋体" w:hAnsi="宋体" w:eastAsia="宋体"/>
                <w:color w:val="auto"/>
                <w:sz w:val="24"/>
                <w:szCs w:val="24"/>
                <w:highlight w:val="none"/>
              </w:rPr>
            </w:pPr>
          </w:p>
        </w:tc>
        <w:tc>
          <w:tcPr>
            <w:tcW w:w="948" w:type="dxa"/>
            <w:vAlign w:val="center"/>
          </w:tcPr>
          <w:p w14:paraId="4BF91ED8">
            <w:pPr>
              <w:spacing w:line="360" w:lineRule="auto"/>
              <w:rPr>
                <w:rFonts w:ascii="宋体" w:hAnsi="宋体" w:eastAsia="宋体"/>
                <w:color w:val="auto"/>
                <w:sz w:val="24"/>
                <w:szCs w:val="24"/>
                <w:highlight w:val="none"/>
              </w:rPr>
            </w:pPr>
          </w:p>
        </w:tc>
      </w:tr>
      <w:tr w14:paraId="5B93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7E38A5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4106" w:type="dxa"/>
            <w:vAlign w:val="center"/>
          </w:tcPr>
          <w:p w14:paraId="1B9BB787">
            <w:pPr>
              <w:spacing w:line="360" w:lineRule="auto"/>
              <w:rPr>
                <w:rFonts w:ascii="宋体" w:hAnsi="宋体" w:eastAsia="宋体"/>
                <w:color w:val="auto"/>
                <w:sz w:val="24"/>
                <w:szCs w:val="24"/>
                <w:highlight w:val="none"/>
              </w:rPr>
            </w:pPr>
          </w:p>
        </w:tc>
        <w:tc>
          <w:tcPr>
            <w:tcW w:w="2528" w:type="dxa"/>
            <w:vAlign w:val="center"/>
          </w:tcPr>
          <w:p w14:paraId="1153704E">
            <w:pPr>
              <w:spacing w:line="360" w:lineRule="auto"/>
              <w:rPr>
                <w:rFonts w:ascii="宋体" w:hAnsi="宋体" w:eastAsia="宋体"/>
                <w:color w:val="auto"/>
                <w:sz w:val="24"/>
                <w:szCs w:val="24"/>
                <w:highlight w:val="none"/>
              </w:rPr>
            </w:pPr>
          </w:p>
        </w:tc>
        <w:tc>
          <w:tcPr>
            <w:tcW w:w="948" w:type="dxa"/>
            <w:vAlign w:val="center"/>
          </w:tcPr>
          <w:p w14:paraId="48AC9245">
            <w:pPr>
              <w:spacing w:line="360" w:lineRule="auto"/>
              <w:rPr>
                <w:rFonts w:ascii="宋体" w:hAnsi="宋体" w:eastAsia="宋体"/>
                <w:color w:val="auto"/>
                <w:sz w:val="24"/>
                <w:szCs w:val="24"/>
                <w:highlight w:val="none"/>
              </w:rPr>
            </w:pPr>
          </w:p>
        </w:tc>
      </w:tr>
      <w:tr w14:paraId="135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A2B146B">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4106" w:type="dxa"/>
            <w:vAlign w:val="center"/>
          </w:tcPr>
          <w:p w14:paraId="4EE57561">
            <w:pPr>
              <w:spacing w:line="360" w:lineRule="auto"/>
              <w:rPr>
                <w:rFonts w:ascii="宋体" w:hAnsi="宋体" w:eastAsia="宋体"/>
                <w:color w:val="auto"/>
                <w:sz w:val="24"/>
                <w:szCs w:val="24"/>
                <w:highlight w:val="none"/>
              </w:rPr>
            </w:pPr>
          </w:p>
        </w:tc>
        <w:tc>
          <w:tcPr>
            <w:tcW w:w="2528" w:type="dxa"/>
            <w:vAlign w:val="center"/>
          </w:tcPr>
          <w:p w14:paraId="316836D8">
            <w:pPr>
              <w:spacing w:line="360" w:lineRule="auto"/>
              <w:rPr>
                <w:rFonts w:ascii="宋体" w:hAnsi="宋体" w:eastAsia="宋体"/>
                <w:color w:val="auto"/>
                <w:sz w:val="24"/>
                <w:szCs w:val="24"/>
                <w:highlight w:val="none"/>
              </w:rPr>
            </w:pPr>
          </w:p>
        </w:tc>
        <w:tc>
          <w:tcPr>
            <w:tcW w:w="948" w:type="dxa"/>
            <w:vAlign w:val="center"/>
          </w:tcPr>
          <w:p w14:paraId="6AC91650">
            <w:pPr>
              <w:spacing w:line="360" w:lineRule="auto"/>
              <w:rPr>
                <w:rFonts w:ascii="宋体" w:hAnsi="宋体" w:eastAsia="宋体"/>
                <w:color w:val="auto"/>
                <w:sz w:val="24"/>
                <w:szCs w:val="24"/>
                <w:highlight w:val="none"/>
              </w:rPr>
            </w:pPr>
          </w:p>
        </w:tc>
      </w:tr>
      <w:tr w14:paraId="5179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672A2E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p>
        </w:tc>
        <w:tc>
          <w:tcPr>
            <w:tcW w:w="4106" w:type="dxa"/>
            <w:vAlign w:val="center"/>
          </w:tcPr>
          <w:p w14:paraId="09E63C63">
            <w:pPr>
              <w:spacing w:line="360" w:lineRule="auto"/>
              <w:rPr>
                <w:rFonts w:ascii="宋体" w:hAnsi="宋体" w:eastAsia="宋体"/>
                <w:color w:val="auto"/>
                <w:sz w:val="24"/>
                <w:szCs w:val="24"/>
                <w:highlight w:val="none"/>
              </w:rPr>
            </w:pPr>
          </w:p>
        </w:tc>
        <w:tc>
          <w:tcPr>
            <w:tcW w:w="2528" w:type="dxa"/>
            <w:vAlign w:val="center"/>
          </w:tcPr>
          <w:p w14:paraId="26B2AACE">
            <w:pPr>
              <w:spacing w:line="360" w:lineRule="auto"/>
              <w:rPr>
                <w:rFonts w:ascii="宋体" w:hAnsi="宋体" w:eastAsia="宋体"/>
                <w:color w:val="auto"/>
                <w:sz w:val="24"/>
                <w:szCs w:val="24"/>
                <w:highlight w:val="none"/>
              </w:rPr>
            </w:pPr>
          </w:p>
        </w:tc>
        <w:tc>
          <w:tcPr>
            <w:tcW w:w="948" w:type="dxa"/>
            <w:vAlign w:val="center"/>
          </w:tcPr>
          <w:p w14:paraId="5CFC6845">
            <w:pPr>
              <w:spacing w:line="360" w:lineRule="auto"/>
              <w:rPr>
                <w:rFonts w:ascii="宋体" w:hAnsi="宋体" w:eastAsia="宋体"/>
                <w:color w:val="auto"/>
                <w:sz w:val="24"/>
                <w:szCs w:val="24"/>
                <w:highlight w:val="none"/>
              </w:rPr>
            </w:pPr>
          </w:p>
        </w:tc>
      </w:tr>
    </w:tbl>
    <w:p w14:paraId="795D0C07">
      <w:pPr>
        <w:adjustRightInd w:val="0"/>
        <w:snapToGrid w:val="0"/>
        <w:spacing w:line="360" w:lineRule="auto"/>
        <w:rPr>
          <w:rFonts w:ascii="宋体" w:hAnsi="宋体" w:eastAsia="宋体"/>
          <w:b/>
          <w:bCs/>
          <w:color w:val="auto"/>
          <w:sz w:val="24"/>
          <w:szCs w:val="28"/>
          <w:highlight w:val="none"/>
        </w:rPr>
      </w:pPr>
    </w:p>
    <w:p w14:paraId="71B3C357">
      <w:pPr>
        <w:adjustRightInd w:val="0"/>
        <w:snapToGrid w:val="0"/>
        <w:spacing w:line="360" w:lineRule="auto"/>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581F1C18">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1.表中所列业绩应为供应商满足磋商文件要求的业绩；</w:t>
      </w:r>
    </w:p>
    <w:p w14:paraId="37628911">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2.成交供应商提供的以上业绩情况，如磋商文件《供应商须知前附表》有约定的，将按约定随评审结果公告。</w:t>
      </w:r>
    </w:p>
    <w:p w14:paraId="52E8986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B817AF7">
      <w:pPr>
        <w:widowControl/>
        <w:jc w:val="center"/>
        <w:rPr>
          <w:rFonts w:ascii="宋体" w:hAnsi="宋体" w:eastAsia="宋体"/>
          <w:b/>
          <w:color w:val="auto"/>
          <w:sz w:val="28"/>
          <w:szCs w:val="28"/>
          <w:highlight w:val="none"/>
        </w:rPr>
      </w:pPr>
      <w:r>
        <w:rPr>
          <w:rFonts w:hint="eastAsia" w:ascii="宋体" w:hAnsi="宋体" w:eastAsia="宋体"/>
          <w:b/>
          <w:color w:val="auto"/>
          <w:sz w:val="28"/>
          <w:szCs w:val="28"/>
          <w:highlight w:val="none"/>
        </w:rPr>
        <w:t>十</w:t>
      </w:r>
      <w:bookmarkStart w:id="168" w:name="_Toc520983599"/>
      <w:bookmarkStart w:id="169" w:name="_Hlk11531103"/>
      <w:bookmarkStart w:id="170" w:name="_Toc461056644"/>
      <w:r>
        <w:rPr>
          <w:rFonts w:hint="eastAsia" w:ascii="宋体" w:hAnsi="宋体" w:eastAsia="宋体"/>
          <w:b/>
          <w:color w:val="auto"/>
          <w:sz w:val="28"/>
          <w:szCs w:val="28"/>
          <w:highlight w:val="none"/>
          <w:lang w:eastAsia="zh-CN"/>
        </w:rPr>
        <w:t>二</w:t>
      </w:r>
      <w:r>
        <w:rPr>
          <w:rFonts w:hint="eastAsia" w:ascii="宋体" w:hAnsi="宋体" w:eastAsia="宋体"/>
          <w:b/>
          <w:color w:val="auto"/>
          <w:sz w:val="28"/>
          <w:szCs w:val="28"/>
          <w:highlight w:val="none"/>
        </w:rPr>
        <w:t>、</w:t>
      </w:r>
      <w:bookmarkEnd w:id="168"/>
      <w:bookmarkEnd w:id="169"/>
      <w:bookmarkEnd w:id="170"/>
      <w:r>
        <w:rPr>
          <w:rFonts w:hint="eastAsia" w:ascii="宋体" w:hAnsi="宋体" w:eastAsia="宋体"/>
          <w:b/>
          <w:color w:val="auto"/>
          <w:sz w:val="28"/>
          <w:szCs w:val="28"/>
          <w:highlight w:val="none"/>
        </w:rPr>
        <w:t>其他相关证明材料</w:t>
      </w:r>
    </w:p>
    <w:p w14:paraId="3574B2F3">
      <w:pPr>
        <w:tabs>
          <w:tab w:val="left" w:pos="462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提供符合竞争性磋商公告、采购需求及评审方法和标准规定的相关证明文件。</w:t>
      </w:r>
    </w:p>
    <w:p w14:paraId="242EA0C9">
      <w:pPr>
        <w:spacing w:line="360" w:lineRule="auto"/>
        <w:ind w:firstLine="435"/>
        <w:rPr>
          <w:rFonts w:ascii="宋体" w:hAnsi="宋体" w:eastAsia="宋体"/>
          <w:color w:val="auto"/>
          <w:sz w:val="24"/>
          <w:highlight w:val="none"/>
        </w:rPr>
      </w:pPr>
    </w:p>
    <w:p w14:paraId="56337451">
      <w:pPr>
        <w:pStyle w:val="23"/>
        <w:ind w:firstLine="0" w:firstLineChars="0"/>
        <w:rPr>
          <w:color w:val="auto"/>
          <w:highlight w:val="none"/>
        </w:rPr>
      </w:pP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C9C1">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903D">
    <w:pPr>
      <w:pStyle w:val="16"/>
      <w:jc w:val="center"/>
      <w:rPr>
        <w:rFonts w:ascii="Arial" w:hAnsi="Arial" w:eastAsia="宋体"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67058A55">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52</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50</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1DB31">
    <w:pPr>
      <w:pStyle w:val="18"/>
      <w:jc w:val="left"/>
      <w:rPr>
        <w:rFonts w:ascii="宋体" w:hAnsi="宋体" w:eastAsia="宋体"/>
      </w:rPr>
    </w:pPr>
    <w:r>
      <w:rPr>
        <w:rFonts w:hint="eastAsia" w:ascii="宋体" w:hAnsi="宋体" w:eastAsia="宋体"/>
      </w:rPr>
      <w:t>鼎信数智技术集团股份有限公司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34E3">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F85D4"/>
    <w:multiLevelType w:val="singleLevel"/>
    <w:tmpl w:val="121F85D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OTU0N2EzYzllMGVjODRhNzJiMjc1YjYzNjhkYTUifQ=="/>
  </w:docVars>
  <w:rsids>
    <w:rsidRoot w:val="00276BA1"/>
    <w:rsid w:val="0000043F"/>
    <w:rsid w:val="000037F9"/>
    <w:rsid w:val="000049DA"/>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3F37"/>
    <w:rsid w:val="000E3C74"/>
    <w:rsid w:val="000E3F9B"/>
    <w:rsid w:val="000E478E"/>
    <w:rsid w:val="000E5D51"/>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40687"/>
    <w:rsid w:val="00146421"/>
    <w:rsid w:val="00153B20"/>
    <w:rsid w:val="00155F64"/>
    <w:rsid w:val="00157856"/>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A0C0F"/>
    <w:rsid w:val="001A2E05"/>
    <w:rsid w:val="001A68E5"/>
    <w:rsid w:val="001B2A54"/>
    <w:rsid w:val="001B2BA4"/>
    <w:rsid w:val="001B5014"/>
    <w:rsid w:val="001B7327"/>
    <w:rsid w:val="001D22EA"/>
    <w:rsid w:val="001D53B4"/>
    <w:rsid w:val="001D6E22"/>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2684E"/>
    <w:rsid w:val="00231187"/>
    <w:rsid w:val="0023407E"/>
    <w:rsid w:val="00240B40"/>
    <w:rsid w:val="00244182"/>
    <w:rsid w:val="002544A1"/>
    <w:rsid w:val="00257ECE"/>
    <w:rsid w:val="00260382"/>
    <w:rsid w:val="00260B94"/>
    <w:rsid w:val="00262024"/>
    <w:rsid w:val="00264F2E"/>
    <w:rsid w:val="00271245"/>
    <w:rsid w:val="00273F66"/>
    <w:rsid w:val="00274A9E"/>
    <w:rsid w:val="00275B22"/>
    <w:rsid w:val="00276BA1"/>
    <w:rsid w:val="00280984"/>
    <w:rsid w:val="002832CF"/>
    <w:rsid w:val="002835E3"/>
    <w:rsid w:val="00284542"/>
    <w:rsid w:val="0028626C"/>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05571"/>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73A96"/>
    <w:rsid w:val="003826C2"/>
    <w:rsid w:val="00383728"/>
    <w:rsid w:val="00384E57"/>
    <w:rsid w:val="003903BB"/>
    <w:rsid w:val="0039085F"/>
    <w:rsid w:val="0039195E"/>
    <w:rsid w:val="00392627"/>
    <w:rsid w:val="00394128"/>
    <w:rsid w:val="00394ADC"/>
    <w:rsid w:val="00395235"/>
    <w:rsid w:val="0039561A"/>
    <w:rsid w:val="00397C7D"/>
    <w:rsid w:val="003A004F"/>
    <w:rsid w:val="003A2158"/>
    <w:rsid w:val="003A3AC4"/>
    <w:rsid w:val="003B25A5"/>
    <w:rsid w:val="003B4130"/>
    <w:rsid w:val="003B715B"/>
    <w:rsid w:val="003C2C62"/>
    <w:rsid w:val="003C5566"/>
    <w:rsid w:val="003C577A"/>
    <w:rsid w:val="003D1D14"/>
    <w:rsid w:val="003D6C7C"/>
    <w:rsid w:val="003D6EFB"/>
    <w:rsid w:val="003D7E52"/>
    <w:rsid w:val="003E25C6"/>
    <w:rsid w:val="003F7528"/>
    <w:rsid w:val="004011AA"/>
    <w:rsid w:val="0040202C"/>
    <w:rsid w:val="00404A8F"/>
    <w:rsid w:val="00406508"/>
    <w:rsid w:val="004110F6"/>
    <w:rsid w:val="0041456E"/>
    <w:rsid w:val="004148E3"/>
    <w:rsid w:val="00414F7E"/>
    <w:rsid w:val="004164F8"/>
    <w:rsid w:val="00426F05"/>
    <w:rsid w:val="004328E1"/>
    <w:rsid w:val="004427B7"/>
    <w:rsid w:val="0044349F"/>
    <w:rsid w:val="00445F1F"/>
    <w:rsid w:val="00447862"/>
    <w:rsid w:val="0045128E"/>
    <w:rsid w:val="00451F60"/>
    <w:rsid w:val="00452BB2"/>
    <w:rsid w:val="00456054"/>
    <w:rsid w:val="0045656D"/>
    <w:rsid w:val="00462D98"/>
    <w:rsid w:val="00463E7D"/>
    <w:rsid w:val="00465522"/>
    <w:rsid w:val="00472A44"/>
    <w:rsid w:val="00473A89"/>
    <w:rsid w:val="00475899"/>
    <w:rsid w:val="00482C78"/>
    <w:rsid w:val="00483ABC"/>
    <w:rsid w:val="0048634A"/>
    <w:rsid w:val="004874AE"/>
    <w:rsid w:val="0049056F"/>
    <w:rsid w:val="00492217"/>
    <w:rsid w:val="004949D9"/>
    <w:rsid w:val="00494D24"/>
    <w:rsid w:val="004951D1"/>
    <w:rsid w:val="004960BB"/>
    <w:rsid w:val="004A1BA3"/>
    <w:rsid w:val="004A27D0"/>
    <w:rsid w:val="004A4D67"/>
    <w:rsid w:val="004B7E79"/>
    <w:rsid w:val="004C13CB"/>
    <w:rsid w:val="004C5B90"/>
    <w:rsid w:val="004D3D4B"/>
    <w:rsid w:val="004D5498"/>
    <w:rsid w:val="004D66A5"/>
    <w:rsid w:val="004D6B00"/>
    <w:rsid w:val="004E1D50"/>
    <w:rsid w:val="004E3266"/>
    <w:rsid w:val="004E38BA"/>
    <w:rsid w:val="004E50CA"/>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7FC0"/>
    <w:rsid w:val="005470D4"/>
    <w:rsid w:val="0055705E"/>
    <w:rsid w:val="005616B5"/>
    <w:rsid w:val="00566690"/>
    <w:rsid w:val="005679A4"/>
    <w:rsid w:val="00574CE6"/>
    <w:rsid w:val="0059223D"/>
    <w:rsid w:val="0059365B"/>
    <w:rsid w:val="00593ABC"/>
    <w:rsid w:val="00597B15"/>
    <w:rsid w:val="005A044C"/>
    <w:rsid w:val="005A149F"/>
    <w:rsid w:val="005A3A32"/>
    <w:rsid w:val="005A48A5"/>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1E43"/>
    <w:rsid w:val="00662DCD"/>
    <w:rsid w:val="00662EE8"/>
    <w:rsid w:val="00663813"/>
    <w:rsid w:val="00664AFD"/>
    <w:rsid w:val="00667567"/>
    <w:rsid w:val="0067391A"/>
    <w:rsid w:val="00674173"/>
    <w:rsid w:val="0067534F"/>
    <w:rsid w:val="00677D87"/>
    <w:rsid w:val="00685711"/>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21C7"/>
    <w:rsid w:val="006F5F03"/>
    <w:rsid w:val="006F5FFF"/>
    <w:rsid w:val="006F6707"/>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507BF"/>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97488"/>
    <w:rsid w:val="007A5A58"/>
    <w:rsid w:val="007A7093"/>
    <w:rsid w:val="007B1C56"/>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1BE0"/>
    <w:rsid w:val="00817A01"/>
    <w:rsid w:val="00820937"/>
    <w:rsid w:val="00825E35"/>
    <w:rsid w:val="00830A4E"/>
    <w:rsid w:val="008334F8"/>
    <w:rsid w:val="00835FFD"/>
    <w:rsid w:val="0084381F"/>
    <w:rsid w:val="00843E35"/>
    <w:rsid w:val="008524CE"/>
    <w:rsid w:val="00857633"/>
    <w:rsid w:val="0086120A"/>
    <w:rsid w:val="0086440C"/>
    <w:rsid w:val="008674ED"/>
    <w:rsid w:val="00874EE6"/>
    <w:rsid w:val="00876659"/>
    <w:rsid w:val="0087734C"/>
    <w:rsid w:val="00882141"/>
    <w:rsid w:val="00886BD4"/>
    <w:rsid w:val="008876EC"/>
    <w:rsid w:val="008922A8"/>
    <w:rsid w:val="00895BD5"/>
    <w:rsid w:val="00897FEA"/>
    <w:rsid w:val="008A16C4"/>
    <w:rsid w:val="008A4A27"/>
    <w:rsid w:val="008A649F"/>
    <w:rsid w:val="008A6FED"/>
    <w:rsid w:val="008B39C5"/>
    <w:rsid w:val="008B51AA"/>
    <w:rsid w:val="008C05E3"/>
    <w:rsid w:val="008C67F2"/>
    <w:rsid w:val="008D064A"/>
    <w:rsid w:val="008D2537"/>
    <w:rsid w:val="008D2B0F"/>
    <w:rsid w:val="008D633C"/>
    <w:rsid w:val="008E449E"/>
    <w:rsid w:val="008E4BDD"/>
    <w:rsid w:val="008E770C"/>
    <w:rsid w:val="008F187F"/>
    <w:rsid w:val="008F331E"/>
    <w:rsid w:val="008F402F"/>
    <w:rsid w:val="008F76E8"/>
    <w:rsid w:val="00904508"/>
    <w:rsid w:val="009078A1"/>
    <w:rsid w:val="00911E9C"/>
    <w:rsid w:val="00917405"/>
    <w:rsid w:val="00920F7C"/>
    <w:rsid w:val="00922718"/>
    <w:rsid w:val="00924743"/>
    <w:rsid w:val="00932A87"/>
    <w:rsid w:val="00934CAE"/>
    <w:rsid w:val="0093560E"/>
    <w:rsid w:val="00937331"/>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B0EDA"/>
    <w:rsid w:val="009B6C42"/>
    <w:rsid w:val="009D0D71"/>
    <w:rsid w:val="009D2998"/>
    <w:rsid w:val="009D31F7"/>
    <w:rsid w:val="009D32C2"/>
    <w:rsid w:val="009D50DB"/>
    <w:rsid w:val="009E2932"/>
    <w:rsid w:val="009E3A0A"/>
    <w:rsid w:val="009E7691"/>
    <w:rsid w:val="009F1936"/>
    <w:rsid w:val="009F3E91"/>
    <w:rsid w:val="00A008DA"/>
    <w:rsid w:val="00A00C93"/>
    <w:rsid w:val="00A0571E"/>
    <w:rsid w:val="00A13A27"/>
    <w:rsid w:val="00A1499B"/>
    <w:rsid w:val="00A170D8"/>
    <w:rsid w:val="00A30A1B"/>
    <w:rsid w:val="00A314C2"/>
    <w:rsid w:val="00A501BF"/>
    <w:rsid w:val="00A518DD"/>
    <w:rsid w:val="00A519A0"/>
    <w:rsid w:val="00A62A2E"/>
    <w:rsid w:val="00A63E86"/>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F91"/>
    <w:rsid w:val="00AE60E9"/>
    <w:rsid w:val="00AF5B63"/>
    <w:rsid w:val="00B0053D"/>
    <w:rsid w:val="00B03121"/>
    <w:rsid w:val="00B039E3"/>
    <w:rsid w:val="00B06D36"/>
    <w:rsid w:val="00B12BC4"/>
    <w:rsid w:val="00B22838"/>
    <w:rsid w:val="00B33E8F"/>
    <w:rsid w:val="00B33E95"/>
    <w:rsid w:val="00B3720B"/>
    <w:rsid w:val="00B45D0B"/>
    <w:rsid w:val="00B5558A"/>
    <w:rsid w:val="00B56513"/>
    <w:rsid w:val="00B61B64"/>
    <w:rsid w:val="00B64376"/>
    <w:rsid w:val="00B6570C"/>
    <w:rsid w:val="00B7401F"/>
    <w:rsid w:val="00B769CF"/>
    <w:rsid w:val="00B806C3"/>
    <w:rsid w:val="00B80D6F"/>
    <w:rsid w:val="00B84FCA"/>
    <w:rsid w:val="00B9089F"/>
    <w:rsid w:val="00B91826"/>
    <w:rsid w:val="00B91AEE"/>
    <w:rsid w:val="00B95F5A"/>
    <w:rsid w:val="00B96EAD"/>
    <w:rsid w:val="00BA4B7C"/>
    <w:rsid w:val="00BA79F5"/>
    <w:rsid w:val="00BA7EA7"/>
    <w:rsid w:val="00BB3AB6"/>
    <w:rsid w:val="00BB766D"/>
    <w:rsid w:val="00BC007B"/>
    <w:rsid w:val="00BC26BA"/>
    <w:rsid w:val="00BC35F8"/>
    <w:rsid w:val="00BC481B"/>
    <w:rsid w:val="00BD08DF"/>
    <w:rsid w:val="00BD2D29"/>
    <w:rsid w:val="00BD617C"/>
    <w:rsid w:val="00BE04CF"/>
    <w:rsid w:val="00BE782C"/>
    <w:rsid w:val="00BF376F"/>
    <w:rsid w:val="00BF46A6"/>
    <w:rsid w:val="00BF6CAD"/>
    <w:rsid w:val="00BF71FB"/>
    <w:rsid w:val="00C04DBF"/>
    <w:rsid w:val="00C05E4C"/>
    <w:rsid w:val="00C06545"/>
    <w:rsid w:val="00C134AF"/>
    <w:rsid w:val="00C2079A"/>
    <w:rsid w:val="00C220FC"/>
    <w:rsid w:val="00C24DFA"/>
    <w:rsid w:val="00C24F9D"/>
    <w:rsid w:val="00C30182"/>
    <w:rsid w:val="00C31FC9"/>
    <w:rsid w:val="00C37A63"/>
    <w:rsid w:val="00C42248"/>
    <w:rsid w:val="00C46A36"/>
    <w:rsid w:val="00C46AC4"/>
    <w:rsid w:val="00C47037"/>
    <w:rsid w:val="00C509E3"/>
    <w:rsid w:val="00C53625"/>
    <w:rsid w:val="00C540B5"/>
    <w:rsid w:val="00C548BA"/>
    <w:rsid w:val="00C5679D"/>
    <w:rsid w:val="00C57784"/>
    <w:rsid w:val="00C602C1"/>
    <w:rsid w:val="00C63FC0"/>
    <w:rsid w:val="00C66392"/>
    <w:rsid w:val="00C73D09"/>
    <w:rsid w:val="00C74C5E"/>
    <w:rsid w:val="00C82558"/>
    <w:rsid w:val="00C827A2"/>
    <w:rsid w:val="00C82B69"/>
    <w:rsid w:val="00C82C8E"/>
    <w:rsid w:val="00C82CB3"/>
    <w:rsid w:val="00C91B28"/>
    <w:rsid w:val="00C91F3A"/>
    <w:rsid w:val="00C93590"/>
    <w:rsid w:val="00C957FD"/>
    <w:rsid w:val="00CA5446"/>
    <w:rsid w:val="00CB14E5"/>
    <w:rsid w:val="00CB218D"/>
    <w:rsid w:val="00CB5625"/>
    <w:rsid w:val="00CB5797"/>
    <w:rsid w:val="00CC1C17"/>
    <w:rsid w:val="00CC4F7F"/>
    <w:rsid w:val="00CD09E1"/>
    <w:rsid w:val="00CE1780"/>
    <w:rsid w:val="00CE4913"/>
    <w:rsid w:val="00CE66BD"/>
    <w:rsid w:val="00CE6DA3"/>
    <w:rsid w:val="00CF0671"/>
    <w:rsid w:val="00CF247A"/>
    <w:rsid w:val="00CF44AD"/>
    <w:rsid w:val="00CF4D7C"/>
    <w:rsid w:val="00CF4FC0"/>
    <w:rsid w:val="00CF7486"/>
    <w:rsid w:val="00D1072F"/>
    <w:rsid w:val="00D108A5"/>
    <w:rsid w:val="00D14585"/>
    <w:rsid w:val="00D153C8"/>
    <w:rsid w:val="00D20EFF"/>
    <w:rsid w:val="00D31324"/>
    <w:rsid w:val="00D37746"/>
    <w:rsid w:val="00D4131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B795B"/>
    <w:rsid w:val="00DC1062"/>
    <w:rsid w:val="00DC132C"/>
    <w:rsid w:val="00DC181A"/>
    <w:rsid w:val="00DC5727"/>
    <w:rsid w:val="00DD43F0"/>
    <w:rsid w:val="00DD44DE"/>
    <w:rsid w:val="00DE09AB"/>
    <w:rsid w:val="00DE352F"/>
    <w:rsid w:val="00DE4A3F"/>
    <w:rsid w:val="00DE5A99"/>
    <w:rsid w:val="00DF4367"/>
    <w:rsid w:val="00DF7291"/>
    <w:rsid w:val="00E02FF3"/>
    <w:rsid w:val="00E0574A"/>
    <w:rsid w:val="00E1243D"/>
    <w:rsid w:val="00E12742"/>
    <w:rsid w:val="00E146D4"/>
    <w:rsid w:val="00E14815"/>
    <w:rsid w:val="00E21D37"/>
    <w:rsid w:val="00E220ED"/>
    <w:rsid w:val="00E22B44"/>
    <w:rsid w:val="00E30ACD"/>
    <w:rsid w:val="00E32735"/>
    <w:rsid w:val="00E34236"/>
    <w:rsid w:val="00E40C9E"/>
    <w:rsid w:val="00E44B88"/>
    <w:rsid w:val="00E66E36"/>
    <w:rsid w:val="00E702ED"/>
    <w:rsid w:val="00E709A4"/>
    <w:rsid w:val="00E75917"/>
    <w:rsid w:val="00E772DB"/>
    <w:rsid w:val="00E86012"/>
    <w:rsid w:val="00E8604C"/>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2113"/>
    <w:rsid w:val="00EE34C4"/>
    <w:rsid w:val="00EE5730"/>
    <w:rsid w:val="00EE6E9A"/>
    <w:rsid w:val="00EF2AC4"/>
    <w:rsid w:val="00EF397E"/>
    <w:rsid w:val="00F0340C"/>
    <w:rsid w:val="00F06F68"/>
    <w:rsid w:val="00F11241"/>
    <w:rsid w:val="00F112F3"/>
    <w:rsid w:val="00F15E9D"/>
    <w:rsid w:val="00F23FA7"/>
    <w:rsid w:val="00F24C2D"/>
    <w:rsid w:val="00F27D59"/>
    <w:rsid w:val="00F316E1"/>
    <w:rsid w:val="00F32155"/>
    <w:rsid w:val="00F32A81"/>
    <w:rsid w:val="00F40C82"/>
    <w:rsid w:val="00F4197F"/>
    <w:rsid w:val="00F42FC1"/>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0767"/>
    <w:rsid w:val="00FC1439"/>
    <w:rsid w:val="00FC3F65"/>
    <w:rsid w:val="00FC45CD"/>
    <w:rsid w:val="00FC5007"/>
    <w:rsid w:val="00FC724B"/>
    <w:rsid w:val="00FC7910"/>
    <w:rsid w:val="00FD01E0"/>
    <w:rsid w:val="00FD50FC"/>
    <w:rsid w:val="00FE1627"/>
    <w:rsid w:val="00FE2D4E"/>
    <w:rsid w:val="00FF092F"/>
    <w:rsid w:val="00FF0DA7"/>
    <w:rsid w:val="00FF44E0"/>
    <w:rsid w:val="00FF6C72"/>
    <w:rsid w:val="010D33AD"/>
    <w:rsid w:val="01204E60"/>
    <w:rsid w:val="012C1670"/>
    <w:rsid w:val="012C1D4B"/>
    <w:rsid w:val="012D586E"/>
    <w:rsid w:val="01715040"/>
    <w:rsid w:val="019904CB"/>
    <w:rsid w:val="01FF7413"/>
    <w:rsid w:val="021C79B1"/>
    <w:rsid w:val="025774FD"/>
    <w:rsid w:val="026915DE"/>
    <w:rsid w:val="02794EC0"/>
    <w:rsid w:val="029D7BF7"/>
    <w:rsid w:val="02D34F6D"/>
    <w:rsid w:val="030163A2"/>
    <w:rsid w:val="039D530A"/>
    <w:rsid w:val="03A819CC"/>
    <w:rsid w:val="03AB3605"/>
    <w:rsid w:val="03B21E30"/>
    <w:rsid w:val="03D9372E"/>
    <w:rsid w:val="045278F5"/>
    <w:rsid w:val="046B205C"/>
    <w:rsid w:val="047E559B"/>
    <w:rsid w:val="048706BD"/>
    <w:rsid w:val="04905AB8"/>
    <w:rsid w:val="04A34692"/>
    <w:rsid w:val="04D646B0"/>
    <w:rsid w:val="04E43B2D"/>
    <w:rsid w:val="05015581"/>
    <w:rsid w:val="0517577A"/>
    <w:rsid w:val="05384DE9"/>
    <w:rsid w:val="05DF22BB"/>
    <w:rsid w:val="05E51322"/>
    <w:rsid w:val="06B22CA4"/>
    <w:rsid w:val="06C25443"/>
    <w:rsid w:val="06F1778E"/>
    <w:rsid w:val="06FD269B"/>
    <w:rsid w:val="070913A1"/>
    <w:rsid w:val="070C14C4"/>
    <w:rsid w:val="070D76EA"/>
    <w:rsid w:val="0732799F"/>
    <w:rsid w:val="07567DAE"/>
    <w:rsid w:val="07C16F0C"/>
    <w:rsid w:val="07F83520"/>
    <w:rsid w:val="08483957"/>
    <w:rsid w:val="084D04BE"/>
    <w:rsid w:val="084D6B57"/>
    <w:rsid w:val="08604D3F"/>
    <w:rsid w:val="08621D8F"/>
    <w:rsid w:val="08786191"/>
    <w:rsid w:val="08E4597B"/>
    <w:rsid w:val="095F1F2B"/>
    <w:rsid w:val="09A813C2"/>
    <w:rsid w:val="0A192923"/>
    <w:rsid w:val="0A2171FF"/>
    <w:rsid w:val="0A374CDF"/>
    <w:rsid w:val="0A7A1A57"/>
    <w:rsid w:val="0A9E7E23"/>
    <w:rsid w:val="0AF60931"/>
    <w:rsid w:val="0AF84270"/>
    <w:rsid w:val="0AF9049F"/>
    <w:rsid w:val="0AFD74A2"/>
    <w:rsid w:val="0B1A15F6"/>
    <w:rsid w:val="0B7A009A"/>
    <w:rsid w:val="0BF503F6"/>
    <w:rsid w:val="0C1D5D35"/>
    <w:rsid w:val="0C1E2F3C"/>
    <w:rsid w:val="0C4919A4"/>
    <w:rsid w:val="0C6B2AE7"/>
    <w:rsid w:val="0C6C6B63"/>
    <w:rsid w:val="0C7F1316"/>
    <w:rsid w:val="0C934E49"/>
    <w:rsid w:val="0CA035B2"/>
    <w:rsid w:val="0CA923CF"/>
    <w:rsid w:val="0CB2273F"/>
    <w:rsid w:val="0CDA6210"/>
    <w:rsid w:val="0D1C5E09"/>
    <w:rsid w:val="0D226739"/>
    <w:rsid w:val="0D3219B7"/>
    <w:rsid w:val="0D3A3D6F"/>
    <w:rsid w:val="0D4A1213"/>
    <w:rsid w:val="0D5857C7"/>
    <w:rsid w:val="0D9B542C"/>
    <w:rsid w:val="0DCC5FEC"/>
    <w:rsid w:val="0DCD41F5"/>
    <w:rsid w:val="0DE3266F"/>
    <w:rsid w:val="0DE526DE"/>
    <w:rsid w:val="0DEA04A7"/>
    <w:rsid w:val="0E053D00"/>
    <w:rsid w:val="0E341E73"/>
    <w:rsid w:val="0E351412"/>
    <w:rsid w:val="0E5443D7"/>
    <w:rsid w:val="0E7C4496"/>
    <w:rsid w:val="0E8E09F6"/>
    <w:rsid w:val="0EB46EC8"/>
    <w:rsid w:val="0EC814E6"/>
    <w:rsid w:val="0ED07843"/>
    <w:rsid w:val="0EE61B84"/>
    <w:rsid w:val="0F1E3A7F"/>
    <w:rsid w:val="0F1E7E75"/>
    <w:rsid w:val="0F20720E"/>
    <w:rsid w:val="0F7F01D6"/>
    <w:rsid w:val="0F880CAA"/>
    <w:rsid w:val="1003609C"/>
    <w:rsid w:val="10636BD4"/>
    <w:rsid w:val="10874DE5"/>
    <w:rsid w:val="10C11A4C"/>
    <w:rsid w:val="10D43399"/>
    <w:rsid w:val="1122288D"/>
    <w:rsid w:val="11473E3B"/>
    <w:rsid w:val="117B418F"/>
    <w:rsid w:val="118966C5"/>
    <w:rsid w:val="11BD0AA0"/>
    <w:rsid w:val="11BD1344"/>
    <w:rsid w:val="120B0A9D"/>
    <w:rsid w:val="122C632D"/>
    <w:rsid w:val="12346FF2"/>
    <w:rsid w:val="126E0EA5"/>
    <w:rsid w:val="128D7888"/>
    <w:rsid w:val="129D0E11"/>
    <w:rsid w:val="12D80179"/>
    <w:rsid w:val="130C4C5C"/>
    <w:rsid w:val="13157C67"/>
    <w:rsid w:val="135C6593"/>
    <w:rsid w:val="137A768E"/>
    <w:rsid w:val="13BA6C1C"/>
    <w:rsid w:val="13ED2B61"/>
    <w:rsid w:val="14732500"/>
    <w:rsid w:val="148F295E"/>
    <w:rsid w:val="14F4181D"/>
    <w:rsid w:val="14FA0E52"/>
    <w:rsid w:val="15660B95"/>
    <w:rsid w:val="16495071"/>
    <w:rsid w:val="169646BB"/>
    <w:rsid w:val="16AA1E4B"/>
    <w:rsid w:val="17364017"/>
    <w:rsid w:val="17395B94"/>
    <w:rsid w:val="175B4DC9"/>
    <w:rsid w:val="1784203A"/>
    <w:rsid w:val="17D91683"/>
    <w:rsid w:val="1819491E"/>
    <w:rsid w:val="181B3957"/>
    <w:rsid w:val="18B57DD7"/>
    <w:rsid w:val="18B70C2A"/>
    <w:rsid w:val="18BF10F5"/>
    <w:rsid w:val="18D80F3D"/>
    <w:rsid w:val="19203160"/>
    <w:rsid w:val="19426D11"/>
    <w:rsid w:val="19573E8D"/>
    <w:rsid w:val="197E3EEE"/>
    <w:rsid w:val="19A50352"/>
    <w:rsid w:val="19C22180"/>
    <w:rsid w:val="19C34E03"/>
    <w:rsid w:val="19FB0DC7"/>
    <w:rsid w:val="1A3A35E6"/>
    <w:rsid w:val="1A814FC7"/>
    <w:rsid w:val="1A9D303F"/>
    <w:rsid w:val="1AF942BE"/>
    <w:rsid w:val="1AFF598F"/>
    <w:rsid w:val="1B06688A"/>
    <w:rsid w:val="1B8D7C25"/>
    <w:rsid w:val="1BAF4F08"/>
    <w:rsid w:val="1BBA0A3A"/>
    <w:rsid w:val="1CA84C6A"/>
    <w:rsid w:val="1D082152"/>
    <w:rsid w:val="1D0A6E3B"/>
    <w:rsid w:val="1D5053AC"/>
    <w:rsid w:val="1D551EB0"/>
    <w:rsid w:val="1DD63763"/>
    <w:rsid w:val="1E2C09DC"/>
    <w:rsid w:val="1E8308CB"/>
    <w:rsid w:val="1EA60511"/>
    <w:rsid w:val="1EBF1F09"/>
    <w:rsid w:val="1EE10C3B"/>
    <w:rsid w:val="1F056F60"/>
    <w:rsid w:val="1F251CE5"/>
    <w:rsid w:val="1F291813"/>
    <w:rsid w:val="1F3B654D"/>
    <w:rsid w:val="1F3C30EB"/>
    <w:rsid w:val="1F610EF5"/>
    <w:rsid w:val="1F8B43AE"/>
    <w:rsid w:val="1FBA47C5"/>
    <w:rsid w:val="1FC20DDF"/>
    <w:rsid w:val="1FCE5326"/>
    <w:rsid w:val="1FD27811"/>
    <w:rsid w:val="1FD80D6D"/>
    <w:rsid w:val="1FE616E1"/>
    <w:rsid w:val="1FF33BD4"/>
    <w:rsid w:val="201A20BE"/>
    <w:rsid w:val="202A7B89"/>
    <w:rsid w:val="204C665A"/>
    <w:rsid w:val="204F0648"/>
    <w:rsid w:val="20533D65"/>
    <w:rsid w:val="2057469F"/>
    <w:rsid w:val="20BC0099"/>
    <w:rsid w:val="20EB7610"/>
    <w:rsid w:val="2132299E"/>
    <w:rsid w:val="213845A5"/>
    <w:rsid w:val="215374FA"/>
    <w:rsid w:val="216C45BD"/>
    <w:rsid w:val="2191146D"/>
    <w:rsid w:val="219437E5"/>
    <w:rsid w:val="21A87CB9"/>
    <w:rsid w:val="21B64C29"/>
    <w:rsid w:val="22155B52"/>
    <w:rsid w:val="22725EDB"/>
    <w:rsid w:val="22743C6E"/>
    <w:rsid w:val="22802F7B"/>
    <w:rsid w:val="229A0D33"/>
    <w:rsid w:val="22B81D10"/>
    <w:rsid w:val="22C43B16"/>
    <w:rsid w:val="22EE5628"/>
    <w:rsid w:val="22F8554A"/>
    <w:rsid w:val="22FC5478"/>
    <w:rsid w:val="238A4136"/>
    <w:rsid w:val="23916107"/>
    <w:rsid w:val="23AB7C89"/>
    <w:rsid w:val="23AD7EA9"/>
    <w:rsid w:val="241F3176"/>
    <w:rsid w:val="2437536F"/>
    <w:rsid w:val="248B231F"/>
    <w:rsid w:val="24913E86"/>
    <w:rsid w:val="24A612C4"/>
    <w:rsid w:val="250B768C"/>
    <w:rsid w:val="255518C5"/>
    <w:rsid w:val="255D76E7"/>
    <w:rsid w:val="255E3298"/>
    <w:rsid w:val="2567385D"/>
    <w:rsid w:val="256C7256"/>
    <w:rsid w:val="260E10F9"/>
    <w:rsid w:val="26181F60"/>
    <w:rsid w:val="2628479E"/>
    <w:rsid w:val="263266DA"/>
    <w:rsid w:val="26326B31"/>
    <w:rsid w:val="263575A8"/>
    <w:rsid w:val="26A53DF2"/>
    <w:rsid w:val="26AE4107"/>
    <w:rsid w:val="26DE18D2"/>
    <w:rsid w:val="26F56EA5"/>
    <w:rsid w:val="26FA733E"/>
    <w:rsid w:val="272A7FCB"/>
    <w:rsid w:val="27516A6F"/>
    <w:rsid w:val="278553C7"/>
    <w:rsid w:val="27DF124C"/>
    <w:rsid w:val="27E85AF1"/>
    <w:rsid w:val="28063D51"/>
    <w:rsid w:val="283C4B91"/>
    <w:rsid w:val="284D3320"/>
    <w:rsid w:val="286F38A5"/>
    <w:rsid w:val="29057C91"/>
    <w:rsid w:val="29483D10"/>
    <w:rsid w:val="296F185B"/>
    <w:rsid w:val="29763EBB"/>
    <w:rsid w:val="29954372"/>
    <w:rsid w:val="29BA3255"/>
    <w:rsid w:val="29D903FE"/>
    <w:rsid w:val="2A260EE5"/>
    <w:rsid w:val="2A5A5038"/>
    <w:rsid w:val="2AB72D49"/>
    <w:rsid w:val="2B0A1C55"/>
    <w:rsid w:val="2B3109E2"/>
    <w:rsid w:val="2B403F1C"/>
    <w:rsid w:val="2B406AC7"/>
    <w:rsid w:val="2B8F1BA9"/>
    <w:rsid w:val="2BCB01EA"/>
    <w:rsid w:val="2C3C4CFD"/>
    <w:rsid w:val="2C420CA2"/>
    <w:rsid w:val="2C4F6FCA"/>
    <w:rsid w:val="2CA76EBD"/>
    <w:rsid w:val="2CD84EBC"/>
    <w:rsid w:val="2CF1521D"/>
    <w:rsid w:val="2D1633EB"/>
    <w:rsid w:val="2DC565FB"/>
    <w:rsid w:val="2DC87301"/>
    <w:rsid w:val="2E591764"/>
    <w:rsid w:val="2E6B1DE6"/>
    <w:rsid w:val="2E791E80"/>
    <w:rsid w:val="2EBA127C"/>
    <w:rsid w:val="2ECD5581"/>
    <w:rsid w:val="2EDE1085"/>
    <w:rsid w:val="2EE4145B"/>
    <w:rsid w:val="2EED0C47"/>
    <w:rsid w:val="2EF54B82"/>
    <w:rsid w:val="2F040C21"/>
    <w:rsid w:val="2F337E68"/>
    <w:rsid w:val="2F42600C"/>
    <w:rsid w:val="2F5D55F2"/>
    <w:rsid w:val="2F605776"/>
    <w:rsid w:val="2FBA6839"/>
    <w:rsid w:val="2FF80826"/>
    <w:rsid w:val="2FFE357F"/>
    <w:rsid w:val="30242066"/>
    <w:rsid w:val="302E7A9B"/>
    <w:rsid w:val="306D45C5"/>
    <w:rsid w:val="310E7C9B"/>
    <w:rsid w:val="31652284"/>
    <w:rsid w:val="3178679E"/>
    <w:rsid w:val="319F2994"/>
    <w:rsid w:val="31A8644E"/>
    <w:rsid w:val="31CB441C"/>
    <w:rsid w:val="31D24CF8"/>
    <w:rsid w:val="32023BD6"/>
    <w:rsid w:val="32456059"/>
    <w:rsid w:val="32520059"/>
    <w:rsid w:val="326B20A4"/>
    <w:rsid w:val="32707E5D"/>
    <w:rsid w:val="3279415D"/>
    <w:rsid w:val="32E0259E"/>
    <w:rsid w:val="332741E6"/>
    <w:rsid w:val="33533B11"/>
    <w:rsid w:val="33622278"/>
    <w:rsid w:val="33870F6C"/>
    <w:rsid w:val="33A658B5"/>
    <w:rsid w:val="3402671F"/>
    <w:rsid w:val="34164CB8"/>
    <w:rsid w:val="34AD118C"/>
    <w:rsid w:val="34D91664"/>
    <w:rsid w:val="34F90D37"/>
    <w:rsid w:val="351B21C8"/>
    <w:rsid w:val="358126FD"/>
    <w:rsid w:val="35A36F00"/>
    <w:rsid w:val="35B8401F"/>
    <w:rsid w:val="36121B4E"/>
    <w:rsid w:val="36656B11"/>
    <w:rsid w:val="36746FCC"/>
    <w:rsid w:val="36E62B4B"/>
    <w:rsid w:val="3740275B"/>
    <w:rsid w:val="378F5889"/>
    <w:rsid w:val="37F8773A"/>
    <w:rsid w:val="37FA604C"/>
    <w:rsid w:val="38446135"/>
    <w:rsid w:val="384E744B"/>
    <w:rsid w:val="385E779A"/>
    <w:rsid w:val="38671895"/>
    <w:rsid w:val="38A40AE5"/>
    <w:rsid w:val="38C42950"/>
    <w:rsid w:val="390E15F4"/>
    <w:rsid w:val="39226AF1"/>
    <w:rsid w:val="39461BAF"/>
    <w:rsid w:val="396038D6"/>
    <w:rsid w:val="397C56D9"/>
    <w:rsid w:val="39A76AC0"/>
    <w:rsid w:val="39B45396"/>
    <w:rsid w:val="39D077BC"/>
    <w:rsid w:val="39E15207"/>
    <w:rsid w:val="3A0B148C"/>
    <w:rsid w:val="3A28264A"/>
    <w:rsid w:val="3A50591E"/>
    <w:rsid w:val="3A615E19"/>
    <w:rsid w:val="3A736332"/>
    <w:rsid w:val="3AAA3A71"/>
    <w:rsid w:val="3AEF4AD9"/>
    <w:rsid w:val="3B2450C5"/>
    <w:rsid w:val="3B31632B"/>
    <w:rsid w:val="3B433CF6"/>
    <w:rsid w:val="3B5108C1"/>
    <w:rsid w:val="3C2F7DFB"/>
    <w:rsid w:val="3C6C75A2"/>
    <w:rsid w:val="3C796294"/>
    <w:rsid w:val="3CAE6659"/>
    <w:rsid w:val="3CCE3060"/>
    <w:rsid w:val="3CD5250D"/>
    <w:rsid w:val="3CE17FE6"/>
    <w:rsid w:val="3D1569E8"/>
    <w:rsid w:val="3D3553C5"/>
    <w:rsid w:val="3D3B25C0"/>
    <w:rsid w:val="3D564182"/>
    <w:rsid w:val="3D694291"/>
    <w:rsid w:val="3D977B87"/>
    <w:rsid w:val="3DDF5B8E"/>
    <w:rsid w:val="3E5279D1"/>
    <w:rsid w:val="3E76545E"/>
    <w:rsid w:val="3EBE4251"/>
    <w:rsid w:val="3EDF0A9E"/>
    <w:rsid w:val="3EE9673A"/>
    <w:rsid w:val="3F024E1E"/>
    <w:rsid w:val="3F1E74D9"/>
    <w:rsid w:val="3F2346F3"/>
    <w:rsid w:val="3F3451E0"/>
    <w:rsid w:val="3F3A381D"/>
    <w:rsid w:val="3F4A4620"/>
    <w:rsid w:val="3F510587"/>
    <w:rsid w:val="3F552210"/>
    <w:rsid w:val="3FB62CC4"/>
    <w:rsid w:val="3FCE7F64"/>
    <w:rsid w:val="40055CF9"/>
    <w:rsid w:val="401960E8"/>
    <w:rsid w:val="401B739D"/>
    <w:rsid w:val="404A4818"/>
    <w:rsid w:val="4080278C"/>
    <w:rsid w:val="4096249E"/>
    <w:rsid w:val="40A150CF"/>
    <w:rsid w:val="411E6DDB"/>
    <w:rsid w:val="41224B43"/>
    <w:rsid w:val="41271F53"/>
    <w:rsid w:val="413D39CA"/>
    <w:rsid w:val="417A557D"/>
    <w:rsid w:val="41986D20"/>
    <w:rsid w:val="419B3F5E"/>
    <w:rsid w:val="419E48CC"/>
    <w:rsid w:val="41B94032"/>
    <w:rsid w:val="41D6580A"/>
    <w:rsid w:val="41F81874"/>
    <w:rsid w:val="4227503B"/>
    <w:rsid w:val="42926087"/>
    <w:rsid w:val="42BE06AB"/>
    <w:rsid w:val="42F04499"/>
    <w:rsid w:val="42F31CDF"/>
    <w:rsid w:val="43016A4D"/>
    <w:rsid w:val="430B3F6F"/>
    <w:rsid w:val="43231C85"/>
    <w:rsid w:val="43484A52"/>
    <w:rsid w:val="435A4B18"/>
    <w:rsid w:val="4382659C"/>
    <w:rsid w:val="438F1E6B"/>
    <w:rsid w:val="43DD69BB"/>
    <w:rsid w:val="43E624C1"/>
    <w:rsid w:val="43F71E23"/>
    <w:rsid w:val="44372413"/>
    <w:rsid w:val="443A4E82"/>
    <w:rsid w:val="44462CCE"/>
    <w:rsid w:val="44541DBE"/>
    <w:rsid w:val="44A2419B"/>
    <w:rsid w:val="45304109"/>
    <w:rsid w:val="459E5A8E"/>
    <w:rsid w:val="45CA13BF"/>
    <w:rsid w:val="4653005B"/>
    <w:rsid w:val="469D02AA"/>
    <w:rsid w:val="46D40BF7"/>
    <w:rsid w:val="46DC25FB"/>
    <w:rsid w:val="47095A11"/>
    <w:rsid w:val="47556B7D"/>
    <w:rsid w:val="47636DAA"/>
    <w:rsid w:val="477A02CD"/>
    <w:rsid w:val="478B08BC"/>
    <w:rsid w:val="48327BC1"/>
    <w:rsid w:val="48590953"/>
    <w:rsid w:val="485E043E"/>
    <w:rsid w:val="48867010"/>
    <w:rsid w:val="4893256B"/>
    <w:rsid w:val="48B7730F"/>
    <w:rsid w:val="48CC1EEF"/>
    <w:rsid w:val="48CE07A2"/>
    <w:rsid w:val="48F25B0E"/>
    <w:rsid w:val="49125486"/>
    <w:rsid w:val="495A2DC6"/>
    <w:rsid w:val="49622C49"/>
    <w:rsid w:val="49AE75B2"/>
    <w:rsid w:val="49C10655"/>
    <w:rsid w:val="49E07403"/>
    <w:rsid w:val="4A19176C"/>
    <w:rsid w:val="4A2B47B5"/>
    <w:rsid w:val="4A4C2F3A"/>
    <w:rsid w:val="4A684B84"/>
    <w:rsid w:val="4ACA77C2"/>
    <w:rsid w:val="4AF5231A"/>
    <w:rsid w:val="4B3D1797"/>
    <w:rsid w:val="4BB3120E"/>
    <w:rsid w:val="4BBB544A"/>
    <w:rsid w:val="4BFA4B0D"/>
    <w:rsid w:val="4BFB5526"/>
    <w:rsid w:val="4C323763"/>
    <w:rsid w:val="4C4B51D7"/>
    <w:rsid w:val="4C4F6545"/>
    <w:rsid w:val="4C543B4D"/>
    <w:rsid w:val="4CB55AB9"/>
    <w:rsid w:val="4CD4668A"/>
    <w:rsid w:val="4D1122DB"/>
    <w:rsid w:val="4D501D3E"/>
    <w:rsid w:val="4D5F52EB"/>
    <w:rsid w:val="4D8D3C74"/>
    <w:rsid w:val="4DAF5B9B"/>
    <w:rsid w:val="4DC53DFF"/>
    <w:rsid w:val="4E11127F"/>
    <w:rsid w:val="4E711361"/>
    <w:rsid w:val="4EBC7327"/>
    <w:rsid w:val="4EC751B1"/>
    <w:rsid w:val="4EE124AB"/>
    <w:rsid w:val="4EE579D4"/>
    <w:rsid w:val="4EED14AA"/>
    <w:rsid w:val="4F056A5C"/>
    <w:rsid w:val="4F133B07"/>
    <w:rsid w:val="4F2E0450"/>
    <w:rsid w:val="4F5162CF"/>
    <w:rsid w:val="4F674171"/>
    <w:rsid w:val="4FA339D5"/>
    <w:rsid w:val="4FE538CA"/>
    <w:rsid w:val="5032028D"/>
    <w:rsid w:val="50670118"/>
    <w:rsid w:val="50741756"/>
    <w:rsid w:val="50760063"/>
    <w:rsid w:val="508C716F"/>
    <w:rsid w:val="50944F4E"/>
    <w:rsid w:val="509732FE"/>
    <w:rsid w:val="50A27C7F"/>
    <w:rsid w:val="50D212FE"/>
    <w:rsid w:val="511F73DD"/>
    <w:rsid w:val="517E666F"/>
    <w:rsid w:val="51AF1B29"/>
    <w:rsid w:val="51BA045C"/>
    <w:rsid w:val="51C244FA"/>
    <w:rsid w:val="51FA155A"/>
    <w:rsid w:val="52017EB5"/>
    <w:rsid w:val="52490CAE"/>
    <w:rsid w:val="525F51CA"/>
    <w:rsid w:val="52706CD8"/>
    <w:rsid w:val="527E3699"/>
    <w:rsid w:val="52C362D4"/>
    <w:rsid w:val="531A299A"/>
    <w:rsid w:val="5327736C"/>
    <w:rsid w:val="532F1B99"/>
    <w:rsid w:val="535770A4"/>
    <w:rsid w:val="53701838"/>
    <w:rsid w:val="53760FF6"/>
    <w:rsid w:val="537821E2"/>
    <w:rsid w:val="5379563B"/>
    <w:rsid w:val="537B1726"/>
    <w:rsid w:val="538E7381"/>
    <w:rsid w:val="53FB5BE2"/>
    <w:rsid w:val="54107D47"/>
    <w:rsid w:val="543150E0"/>
    <w:rsid w:val="54524A0D"/>
    <w:rsid w:val="54CC2C83"/>
    <w:rsid w:val="54E11231"/>
    <w:rsid w:val="54FC31FE"/>
    <w:rsid w:val="552656D1"/>
    <w:rsid w:val="5559552D"/>
    <w:rsid w:val="55944BAC"/>
    <w:rsid w:val="55F80352"/>
    <w:rsid w:val="560D3AA6"/>
    <w:rsid w:val="56C90E70"/>
    <w:rsid w:val="56EA0494"/>
    <w:rsid w:val="570D1FA1"/>
    <w:rsid w:val="57150B13"/>
    <w:rsid w:val="571A6F41"/>
    <w:rsid w:val="574B4E95"/>
    <w:rsid w:val="57585B77"/>
    <w:rsid w:val="5765329A"/>
    <w:rsid w:val="57A66A83"/>
    <w:rsid w:val="57D32BCA"/>
    <w:rsid w:val="57F56852"/>
    <w:rsid w:val="580119A4"/>
    <w:rsid w:val="5809250B"/>
    <w:rsid w:val="585F53AE"/>
    <w:rsid w:val="586E0854"/>
    <w:rsid w:val="5871766D"/>
    <w:rsid w:val="58AF7069"/>
    <w:rsid w:val="58CC280A"/>
    <w:rsid w:val="58F7451F"/>
    <w:rsid w:val="5929493F"/>
    <w:rsid w:val="594037F6"/>
    <w:rsid w:val="59AF719C"/>
    <w:rsid w:val="59B20BD0"/>
    <w:rsid w:val="59BD04BD"/>
    <w:rsid w:val="59F62B09"/>
    <w:rsid w:val="5A0D464C"/>
    <w:rsid w:val="5A7D249A"/>
    <w:rsid w:val="5A9E302D"/>
    <w:rsid w:val="5AE24390"/>
    <w:rsid w:val="5AFF69B7"/>
    <w:rsid w:val="5B274CF8"/>
    <w:rsid w:val="5B7D7C9A"/>
    <w:rsid w:val="5B8108D9"/>
    <w:rsid w:val="5BD1057E"/>
    <w:rsid w:val="5BED12B0"/>
    <w:rsid w:val="5C1A3869"/>
    <w:rsid w:val="5C2D5E2C"/>
    <w:rsid w:val="5C6F78DD"/>
    <w:rsid w:val="5D497D71"/>
    <w:rsid w:val="5D9A208B"/>
    <w:rsid w:val="5DB21AFD"/>
    <w:rsid w:val="5DCE10F8"/>
    <w:rsid w:val="5DEC5524"/>
    <w:rsid w:val="5E1B017F"/>
    <w:rsid w:val="5E417635"/>
    <w:rsid w:val="5E8B509C"/>
    <w:rsid w:val="5EC54892"/>
    <w:rsid w:val="5F024D8B"/>
    <w:rsid w:val="5F092E47"/>
    <w:rsid w:val="5F8337BC"/>
    <w:rsid w:val="5FF1639A"/>
    <w:rsid w:val="5FFD540D"/>
    <w:rsid w:val="601E4214"/>
    <w:rsid w:val="60361DFE"/>
    <w:rsid w:val="604257BF"/>
    <w:rsid w:val="605E023D"/>
    <w:rsid w:val="606231EE"/>
    <w:rsid w:val="60716E02"/>
    <w:rsid w:val="607723B2"/>
    <w:rsid w:val="60AB0A9B"/>
    <w:rsid w:val="60D325A8"/>
    <w:rsid w:val="60D839CB"/>
    <w:rsid w:val="60EF0062"/>
    <w:rsid w:val="61226C33"/>
    <w:rsid w:val="614E78EB"/>
    <w:rsid w:val="619B2509"/>
    <w:rsid w:val="61A649DF"/>
    <w:rsid w:val="61C2503A"/>
    <w:rsid w:val="61D246D2"/>
    <w:rsid w:val="61ED6F04"/>
    <w:rsid w:val="62BD28EE"/>
    <w:rsid w:val="631461CA"/>
    <w:rsid w:val="63265187"/>
    <w:rsid w:val="637278E2"/>
    <w:rsid w:val="63AA6B5A"/>
    <w:rsid w:val="63AB6B3B"/>
    <w:rsid w:val="63C669E5"/>
    <w:rsid w:val="63D374BA"/>
    <w:rsid w:val="64074E17"/>
    <w:rsid w:val="6415628F"/>
    <w:rsid w:val="64223DA5"/>
    <w:rsid w:val="64405F84"/>
    <w:rsid w:val="644510F7"/>
    <w:rsid w:val="648C6F88"/>
    <w:rsid w:val="649661C0"/>
    <w:rsid w:val="64A368F3"/>
    <w:rsid w:val="64B56115"/>
    <w:rsid w:val="64DB6989"/>
    <w:rsid w:val="65057496"/>
    <w:rsid w:val="6527686A"/>
    <w:rsid w:val="652A70F9"/>
    <w:rsid w:val="65413816"/>
    <w:rsid w:val="65420B91"/>
    <w:rsid w:val="65676362"/>
    <w:rsid w:val="658574D3"/>
    <w:rsid w:val="65A9476B"/>
    <w:rsid w:val="65CD73A1"/>
    <w:rsid w:val="65D975EE"/>
    <w:rsid w:val="65E45AEB"/>
    <w:rsid w:val="661F4724"/>
    <w:rsid w:val="662A238D"/>
    <w:rsid w:val="6658483E"/>
    <w:rsid w:val="6679320F"/>
    <w:rsid w:val="66823308"/>
    <w:rsid w:val="66945D52"/>
    <w:rsid w:val="669C387F"/>
    <w:rsid w:val="67162A0C"/>
    <w:rsid w:val="675F1B3E"/>
    <w:rsid w:val="6795137D"/>
    <w:rsid w:val="67CF7FC2"/>
    <w:rsid w:val="67E814EB"/>
    <w:rsid w:val="67F27C57"/>
    <w:rsid w:val="680A4B48"/>
    <w:rsid w:val="68281582"/>
    <w:rsid w:val="684C190E"/>
    <w:rsid w:val="68563060"/>
    <w:rsid w:val="68596271"/>
    <w:rsid w:val="68644CD5"/>
    <w:rsid w:val="68650FDD"/>
    <w:rsid w:val="688120C0"/>
    <w:rsid w:val="68C42271"/>
    <w:rsid w:val="68CD4750"/>
    <w:rsid w:val="68F16842"/>
    <w:rsid w:val="69087D08"/>
    <w:rsid w:val="69124643"/>
    <w:rsid w:val="692C67C9"/>
    <w:rsid w:val="69513119"/>
    <w:rsid w:val="696F7586"/>
    <w:rsid w:val="699220B3"/>
    <w:rsid w:val="69955386"/>
    <w:rsid w:val="69A70C5E"/>
    <w:rsid w:val="69A76D05"/>
    <w:rsid w:val="6A097AFE"/>
    <w:rsid w:val="6A1C49A0"/>
    <w:rsid w:val="6A214A4A"/>
    <w:rsid w:val="6A29253D"/>
    <w:rsid w:val="6A2A5647"/>
    <w:rsid w:val="6A310376"/>
    <w:rsid w:val="6A4F77F7"/>
    <w:rsid w:val="6A652ECB"/>
    <w:rsid w:val="6AAD7CEE"/>
    <w:rsid w:val="6AC06C1C"/>
    <w:rsid w:val="6B39173C"/>
    <w:rsid w:val="6B413C93"/>
    <w:rsid w:val="6B577807"/>
    <w:rsid w:val="6BC71033"/>
    <w:rsid w:val="6C044B3F"/>
    <w:rsid w:val="6C17586F"/>
    <w:rsid w:val="6C5B3E21"/>
    <w:rsid w:val="6C604173"/>
    <w:rsid w:val="6CAB076F"/>
    <w:rsid w:val="6CC12941"/>
    <w:rsid w:val="6CF779B9"/>
    <w:rsid w:val="6CF93B3D"/>
    <w:rsid w:val="6D315DD0"/>
    <w:rsid w:val="6D4415D6"/>
    <w:rsid w:val="6D4D01B4"/>
    <w:rsid w:val="6D5F163D"/>
    <w:rsid w:val="6DB5394B"/>
    <w:rsid w:val="6DB64E45"/>
    <w:rsid w:val="6E3B0D6E"/>
    <w:rsid w:val="6E4542E5"/>
    <w:rsid w:val="6E780095"/>
    <w:rsid w:val="6F3F562C"/>
    <w:rsid w:val="6F544FB0"/>
    <w:rsid w:val="6F5D1188"/>
    <w:rsid w:val="6F894425"/>
    <w:rsid w:val="703313EA"/>
    <w:rsid w:val="705C45AD"/>
    <w:rsid w:val="70DF2712"/>
    <w:rsid w:val="71026C99"/>
    <w:rsid w:val="711E0827"/>
    <w:rsid w:val="71405283"/>
    <w:rsid w:val="715042B1"/>
    <w:rsid w:val="7165211B"/>
    <w:rsid w:val="71727EDF"/>
    <w:rsid w:val="71DC6004"/>
    <w:rsid w:val="721D7641"/>
    <w:rsid w:val="72225CB2"/>
    <w:rsid w:val="72334B58"/>
    <w:rsid w:val="72611200"/>
    <w:rsid w:val="72804D85"/>
    <w:rsid w:val="728D0223"/>
    <w:rsid w:val="728D3481"/>
    <w:rsid w:val="72B51338"/>
    <w:rsid w:val="72F50B73"/>
    <w:rsid w:val="73041CD6"/>
    <w:rsid w:val="730D0236"/>
    <w:rsid w:val="73107E21"/>
    <w:rsid w:val="73264A5C"/>
    <w:rsid w:val="732E0483"/>
    <w:rsid w:val="736F6DB0"/>
    <w:rsid w:val="738D1C6D"/>
    <w:rsid w:val="73A84D2C"/>
    <w:rsid w:val="73C0250D"/>
    <w:rsid w:val="741A2AAA"/>
    <w:rsid w:val="741A4940"/>
    <w:rsid w:val="74372EDA"/>
    <w:rsid w:val="743C3826"/>
    <w:rsid w:val="746E24FE"/>
    <w:rsid w:val="74816627"/>
    <w:rsid w:val="748809B2"/>
    <w:rsid w:val="74FC2405"/>
    <w:rsid w:val="74FE6F66"/>
    <w:rsid w:val="754131A5"/>
    <w:rsid w:val="757B389D"/>
    <w:rsid w:val="75832D81"/>
    <w:rsid w:val="758F1799"/>
    <w:rsid w:val="76162B3C"/>
    <w:rsid w:val="76660FB3"/>
    <w:rsid w:val="766C58D6"/>
    <w:rsid w:val="768A03C1"/>
    <w:rsid w:val="76B649F5"/>
    <w:rsid w:val="76DB2F59"/>
    <w:rsid w:val="77363E42"/>
    <w:rsid w:val="7775580C"/>
    <w:rsid w:val="777D4835"/>
    <w:rsid w:val="77950D33"/>
    <w:rsid w:val="77B87CE0"/>
    <w:rsid w:val="77D624AB"/>
    <w:rsid w:val="77DA3BB7"/>
    <w:rsid w:val="77FF0407"/>
    <w:rsid w:val="78171169"/>
    <w:rsid w:val="78654AC3"/>
    <w:rsid w:val="78865BF0"/>
    <w:rsid w:val="78B55C74"/>
    <w:rsid w:val="78C23F7E"/>
    <w:rsid w:val="79186FEC"/>
    <w:rsid w:val="795468B1"/>
    <w:rsid w:val="799B26EC"/>
    <w:rsid w:val="79B87F12"/>
    <w:rsid w:val="79CA3266"/>
    <w:rsid w:val="79EC2BC9"/>
    <w:rsid w:val="79F611E1"/>
    <w:rsid w:val="7A0E6852"/>
    <w:rsid w:val="7A7E3D3B"/>
    <w:rsid w:val="7A927505"/>
    <w:rsid w:val="7AA5191E"/>
    <w:rsid w:val="7AC32DFE"/>
    <w:rsid w:val="7ADD5A0E"/>
    <w:rsid w:val="7B0709B2"/>
    <w:rsid w:val="7B442458"/>
    <w:rsid w:val="7BAE561D"/>
    <w:rsid w:val="7BD25CB0"/>
    <w:rsid w:val="7BF3493D"/>
    <w:rsid w:val="7C035DC4"/>
    <w:rsid w:val="7C197C85"/>
    <w:rsid w:val="7C4118F4"/>
    <w:rsid w:val="7C523692"/>
    <w:rsid w:val="7C681241"/>
    <w:rsid w:val="7C684EB3"/>
    <w:rsid w:val="7CA6565C"/>
    <w:rsid w:val="7CFB2161"/>
    <w:rsid w:val="7D2146EF"/>
    <w:rsid w:val="7D4A67C5"/>
    <w:rsid w:val="7D7659BC"/>
    <w:rsid w:val="7DBC199B"/>
    <w:rsid w:val="7DCA721C"/>
    <w:rsid w:val="7DDC2B5F"/>
    <w:rsid w:val="7DDE2B80"/>
    <w:rsid w:val="7DF127DB"/>
    <w:rsid w:val="7E6A4242"/>
    <w:rsid w:val="7EBC138C"/>
    <w:rsid w:val="7EC17375"/>
    <w:rsid w:val="7ED14C93"/>
    <w:rsid w:val="7F0C44C2"/>
    <w:rsid w:val="7F1C31EC"/>
    <w:rsid w:val="7F263C4D"/>
    <w:rsid w:val="7F5E01D4"/>
    <w:rsid w:val="7F6D6853"/>
    <w:rsid w:val="7FB42B6D"/>
    <w:rsid w:val="7FEB29EB"/>
    <w:rsid w:val="B7721D72"/>
    <w:rsid w:val="FABFC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51"/>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6"/>
    <w:qFormat/>
    <w:uiPriority w:val="0"/>
    <w:pPr>
      <w:keepNext/>
      <w:keepLines/>
      <w:spacing w:before="280" w:after="290" w:line="376" w:lineRule="auto"/>
      <w:outlineLvl w:val="3"/>
    </w:pPr>
    <w:rPr>
      <w:b/>
      <w:bCs/>
      <w:sz w:val="28"/>
      <w:szCs w:val="28"/>
    </w:rPr>
  </w:style>
  <w:style w:type="paragraph" w:styleId="8">
    <w:name w:val="heading 5"/>
    <w:basedOn w:val="1"/>
    <w:next w:val="1"/>
    <w:unhideWhenUsed/>
    <w:qFormat/>
    <w:uiPriority w:val="9"/>
    <w:pPr>
      <w:keepNext/>
      <w:keepLines/>
      <w:spacing w:before="280" w:after="290" w:line="372" w:lineRule="auto"/>
      <w:outlineLvl w:val="4"/>
    </w:pPr>
    <w:rPr>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ind w:firstLine="660"/>
    </w:pPr>
    <w:rPr>
      <w:rFonts w:ascii="宋体" w:hAnsi="宋体"/>
      <w:color w:val="000000"/>
      <w:sz w:val="24"/>
    </w:rPr>
  </w:style>
  <w:style w:type="paragraph" w:styleId="9">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48"/>
    <w:qFormat/>
    <w:uiPriority w:val="0"/>
    <w:pPr>
      <w:jc w:val="left"/>
    </w:pPr>
    <w:rPr>
      <w:rFonts w:ascii="Arial" w:hAnsi="Arial" w:eastAsia="黑体" w:cs="Arial"/>
    </w:rPr>
  </w:style>
  <w:style w:type="paragraph" w:styleId="11">
    <w:name w:val="Body Text"/>
    <w:basedOn w:val="1"/>
    <w:next w:val="12"/>
    <w:link w:val="57"/>
    <w:qFormat/>
    <w:uiPriority w:val="0"/>
    <w:pPr>
      <w:spacing w:after="120"/>
    </w:pPr>
    <w:rPr>
      <w:rFonts w:ascii="@微软简标宋" w:hAnsi="@微软简标宋" w:eastAsia="@微软简标宋" w:cs="@微软简标宋"/>
      <w:szCs w:val="24"/>
      <w:lang w:val="zh-CN"/>
    </w:rPr>
  </w:style>
  <w:style w:type="paragraph" w:styleId="12">
    <w:name w:val="Date"/>
    <w:basedOn w:val="1"/>
    <w:next w:val="1"/>
    <w:link w:val="44"/>
    <w:qFormat/>
    <w:uiPriority w:val="0"/>
    <w:rPr>
      <w:rFonts w:ascii="Arial" w:hAnsi="Arial" w:eastAsia="宋体" w:cs="Arial"/>
      <w:b/>
      <w:sz w:val="28"/>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37"/>
    <w:qFormat/>
    <w:uiPriority w:val="99"/>
    <w:rPr>
      <w:rFonts w:ascii="宋体" w:hAnsi="Courier New" w:eastAsiaTheme="minorEastAsia" w:cstheme="minorBidi"/>
      <w:szCs w:val="22"/>
    </w:rPr>
  </w:style>
  <w:style w:type="paragraph" w:styleId="15">
    <w:name w:val="Balloon Text"/>
    <w:basedOn w:val="1"/>
    <w:link w:val="31"/>
    <w:semiHidden/>
    <w:unhideWhenUsed/>
    <w:qFormat/>
    <w:uiPriority w:val="99"/>
    <w:rPr>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semiHidden/>
    <w:unhideWhenUsed/>
    <w:qFormat/>
    <w:uiPriority w:val="99"/>
    <w:pPr>
      <w:spacing w:beforeAutospacing="1"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Body Text First Indent"/>
    <w:basedOn w:val="11"/>
    <w:unhideWhenUsed/>
    <w:qFormat/>
    <w:uiPriority w:val="0"/>
    <w:pPr>
      <w:ind w:firstLine="420" w:firstLineChars="1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styleId="30">
    <w:name w:val="HTML Sample"/>
    <w:basedOn w:val="26"/>
    <w:semiHidden/>
    <w:unhideWhenUsed/>
    <w:qFormat/>
    <w:uiPriority w:val="99"/>
    <w:rPr>
      <w:rFonts w:ascii="Courier New" w:hAnsi="Courier New"/>
    </w:rPr>
  </w:style>
  <w:style w:type="character" w:customStyle="1" w:styleId="31">
    <w:name w:val="批注框文本 字符"/>
    <w:basedOn w:val="26"/>
    <w:link w:val="15"/>
    <w:semiHidden/>
    <w:qFormat/>
    <w:uiPriority w:val="99"/>
    <w:rPr>
      <w:rFonts w:ascii="@仿宋_GB2312" w:hAnsi="@仿宋_GB2312" w:eastAsia="@仿宋_GB2312" w:cs="@仿宋_GB2312"/>
      <w:sz w:val="18"/>
      <w:szCs w:val="18"/>
    </w:rPr>
  </w:style>
  <w:style w:type="paragraph" w:customStyle="1" w:styleId="32">
    <w:name w:val="正文（缩进）"/>
    <w:basedOn w:val="1"/>
    <w:qFormat/>
    <w:uiPriority w:val="0"/>
    <w:pPr>
      <w:widowControl/>
      <w:spacing w:before="156" w:after="156"/>
      <w:ind w:firstLine="480" w:firstLineChars="200"/>
      <w:jc w:val="left"/>
    </w:pPr>
    <w:rPr>
      <w:kern w:val="0"/>
      <w:sz w:val="24"/>
      <w:szCs w:val="24"/>
    </w:rPr>
  </w:style>
  <w:style w:type="paragraph" w:customStyle="1" w:styleId="33">
    <w:name w:val="xl31"/>
    <w:basedOn w:val="1"/>
    <w:qFormat/>
    <w:uiPriority w:val="0"/>
    <w:pPr>
      <w:widowControl/>
      <w:spacing w:before="100" w:beforeAutospacing="1" w:after="100" w:afterAutospacing="1"/>
      <w:jc w:val="center"/>
    </w:pPr>
    <w:rPr>
      <w:b/>
      <w:bCs/>
      <w:kern w:val="0"/>
      <w:sz w:val="28"/>
      <w:szCs w:val="28"/>
    </w:rPr>
  </w:style>
  <w:style w:type="paragraph" w:customStyle="1" w:styleId="34">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字符"/>
    <w:basedOn w:val="26"/>
    <w:link w:val="18"/>
    <w:qFormat/>
    <w:uiPriority w:val="0"/>
    <w:rPr>
      <w:rFonts w:ascii="@仿宋_GB2312" w:hAnsi="@仿宋_GB2312" w:eastAsia="@仿宋_GB2312" w:cs="@仿宋_GB2312"/>
      <w:sz w:val="18"/>
      <w:szCs w:val="18"/>
    </w:rPr>
  </w:style>
  <w:style w:type="character" w:customStyle="1" w:styleId="36">
    <w:name w:val="页脚 字符"/>
    <w:basedOn w:val="26"/>
    <w:link w:val="16"/>
    <w:qFormat/>
    <w:uiPriority w:val="99"/>
    <w:rPr>
      <w:rFonts w:ascii="@仿宋_GB2312" w:hAnsi="@仿宋_GB2312" w:eastAsia="@仿宋_GB2312" w:cs="@仿宋_GB2312"/>
      <w:sz w:val="18"/>
      <w:szCs w:val="18"/>
    </w:rPr>
  </w:style>
  <w:style w:type="character" w:customStyle="1" w:styleId="37">
    <w:name w:val="纯文本 字符"/>
    <w:link w:val="14"/>
    <w:qFormat/>
    <w:uiPriority w:val="0"/>
    <w:rPr>
      <w:rFonts w:ascii="宋体" w:hAnsi="Courier New"/>
    </w:rPr>
  </w:style>
  <w:style w:type="character" w:customStyle="1" w:styleId="38">
    <w:name w:val="纯文本 字符1"/>
    <w:basedOn w:val="26"/>
    <w:semiHidden/>
    <w:qFormat/>
    <w:uiPriority w:val="99"/>
    <w:rPr>
      <w:rFonts w:hAnsi="Courier New" w:cs="Courier New" w:asciiTheme="minorEastAsia"/>
      <w:szCs w:val="20"/>
    </w:rPr>
  </w:style>
  <w:style w:type="character" w:customStyle="1" w:styleId="39">
    <w:name w:val="未处理的提及1"/>
    <w:basedOn w:val="26"/>
    <w:semiHidden/>
    <w:unhideWhenUsed/>
    <w:qFormat/>
    <w:uiPriority w:val="99"/>
    <w:rPr>
      <w:color w:val="605E5C"/>
      <w:shd w:val="clear" w:color="auto" w:fill="E1DFDD"/>
    </w:rPr>
  </w:style>
  <w:style w:type="paragraph" w:styleId="40">
    <w:name w:val="List Paragraph"/>
    <w:basedOn w:val="1"/>
    <w:qFormat/>
    <w:uiPriority w:val="34"/>
    <w:pPr>
      <w:ind w:firstLine="420" w:firstLineChars="200"/>
    </w:pPr>
  </w:style>
  <w:style w:type="paragraph" w:customStyle="1" w:styleId="41">
    <w:name w:val="Char Char Char Char Char Char Char1 Char"/>
    <w:basedOn w:val="1"/>
    <w:qFormat/>
    <w:uiPriority w:val="0"/>
    <w:rPr>
      <w:rFonts w:ascii="Arial" w:hAnsi="Arial" w:eastAsia="宋体" w:cs="Arial"/>
      <w:sz w:val="24"/>
    </w:rPr>
  </w:style>
  <w:style w:type="table" w:customStyle="1" w:styleId="42">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6"/>
    <w:semiHidden/>
    <w:qFormat/>
    <w:uiPriority w:val="99"/>
    <w:rPr>
      <w:rFonts w:ascii="@仿宋_GB2312" w:hAnsi="@仿宋_GB2312" w:eastAsia="@仿宋_GB2312" w:cs="@仿宋_GB2312"/>
      <w:szCs w:val="20"/>
    </w:rPr>
  </w:style>
  <w:style w:type="character" w:customStyle="1" w:styleId="44">
    <w:name w:val="日期 字符1"/>
    <w:link w:val="12"/>
    <w:qFormat/>
    <w:uiPriority w:val="0"/>
    <w:rPr>
      <w:rFonts w:ascii="Arial" w:hAnsi="Arial" w:eastAsia="宋体" w:cs="Arial"/>
      <w:b/>
      <w:sz w:val="28"/>
      <w:szCs w:val="20"/>
    </w:rPr>
  </w:style>
  <w:style w:type="character" w:customStyle="1" w:styleId="45">
    <w:name w:val="纯文本 Char1"/>
    <w:link w:val="46"/>
    <w:qFormat/>
    <w:locked/>
    <w:uiPriority w:val="0"/>
    <w:rPr>
      <w:rFonts w:ascii="Arial" w:hAnsi="Arial" w:eastAsia="Arial"/>
      <w:kern w:val="2"/>
      <w:sz w:val="21"/>
      <w:lang w:val="en-US" w:eastAsia="zh-CN" w:bidi="ar-SA"/>
    </w:rPr>
  </w:style>
  <w:style w:type="paragraph" w:customStyle="1" w:styleId="46">
    <w:name w:val="纯文本1"/>
    <w:basedOn w:val="1"/>
    <w:link w:val="45"/>
    <w:qFormat/>
    <w:uiPriority w:val="0"/>
    <w:rPr>
      <w:rFonts w:ascii="Arial" w:hAnsi="Arial" w:eastAsia="Arial" w:cstheme="minorBidi"/>
    </w:rPr>
  </w:style>
  <w:style w:type="character" w:customStyle="1" w:styleId="47">
    <w:name w:val="批注文字 Char"/>
    <w:basedOn w:val="26"/>
    <w:semiHidden/>
    <w:qFormat/>
    <w:uiPriority w:val="99"/>
    <w:rPr>
      <w:rFonts w:ascii="@仿宋_GB2312" w:hAnsi="@仿宋_GB2312" w:eastAsia="@仿宋_GB2312" w:cs="@仿宋_GB2312"/>
      <w:szCs w:val="20"/>
    </w:rPr>
  </w:style>
  <w:style w:type="character" w:customStyle="1" w:styleId="48">
    <w:name w:val="批注文字 字符"/>
    <w:link w:val="10"/>
    <w:qFormat/>
    <w:uiPriority w:val="0"/>
    <w:rPr>
      <w:rFonts w:ascii="Arial" w:hAnsi="Arial" w:eastAsia="黑体" w:cs="Arial"/>
      <w:szCs w:val="20"/>
    </w:rPr>
  </w:style>
  <w:style w:type="character" w:customStyle="1" w:styleId="49">
    <w:name w:val="标题 1 字符"/>
    <w:basedOn w:val="26"/>
    <w:link w:val="4"/>
    <w:qFormat/>
    <w:uiPriority w:val="9"/>
    <w:rPr>
      <w:rFonts w:ascii="@仿宋_GB2312" w:hAnsi="@仿宋_GB2312" w:eastAsia="@仿宋_GB2312" w:cs="@仿宋_GB2312"/>
      <w:b/>
      <w:bCs/>
      <w:kern w:val="44"/>
      <w:sz w:val="44"/>
      <w:szCs w:val="44"/>
    </w:rPr>
  </w:style>
  <w:style w:type="paragraph" w:customStyle="1" w:styleId="50">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字符"/>
    <w:basedOn w:val="26"/>
    <w:link w:val="6"/>
    <w:semiHidden/>
    <w:qFormat/>
    <w:uiPriority w:val="9"/>
    <w:rPr>
      <w:rFonts w:ascii="@仿宋_GB2312" w:hAnsi="@仿宋_GB2312" w:eastAsia="@仿宋_GB2312" w:cs="@仿宋_GB2312"/>
      <w:b/>
      <w:bCs/>
      <w:sz w:val="32"/>
      <w:szCs w:val="32"/>
    </w:rPr>
  </w:style>
  <w:style w:type="character" w:customStyle="1" w:styleId="52">
    <w:name w:val="fontstyle01"/>
    <w:basedOn w:val="26"/>
    <w:qFormat/>
    <w:uiPriority w:val="0"/>
    <w:rPr>
      <w:rFonts w:hint="eastAsia" w:ascii="宋体" w:hAnsi="宋体" w:eastAsia="宋体"/>
      <w:color w:val="000000"/>
      <w:sz w:val="22"/>
      <w:szCs w:val="22"/>
    </w:rPr>
  </w:style>
  <w:style w:type="character" w:customStyle="1" w:styleId="53">
    <w:name w:val="fontstyle21"/>
    <w:basedOn w:val="26"/>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6"/>
    <w:semiHidden/>
    <w:qFormat/>
    <w:uiPriority w:val="9"/>
    <w:rPr>
      <w:rFonts w:asciiTheme="majorHAnsi" w:hAnsiTheme="majorHAnsi" w:eastAsiaTheme="majorEastAsia" w:cstheme="majorBidi"/>
      <w:b/>
      <w:bCs/>
      <w:sz w:val="28"/>
      <w:szCs w:val="28"/>
    </w:rPr>
  </w:style>
  <w:style w:type="character" w:customStyle="1" w:styleId="56">
    <w:name w:val="标题 4 字符1"/>
    <w:link w:val="7"/>
    <w:qFormat/>
    <w:uiPriority w:val="0"/>
    <w:rPr>
      <w:rFonts w:ascii="@仿宋_GB2312" w:hAnsi="@仿宋_GB2312" w:eastAsia="@仿宋_GB2312" w:cs="@仿宋_GB2312"/>
      <w:b/>
      <w:bCs/>
      <w:sz w:val="28"/>
      <w:szCs w:val="28"/>
    </w:rPr>
  </w:style>
  <w:style w:type="character" w:customStyle="1" w:styleId="57">
    <w:name w:val="正文文本 字符"/>
    <w:basedOn w:val="26"/>
    <w:link w:val="11"/>
    <w:qFormat/>
    <w:uiPriority w:val="0"/>
    <w:rPr>
      <w:rFonts w:ascii="@微软简标宋" w:hAnsi="@微软简标宋" w:eastAsia="@微软简标宋" w:cs="@微软简标宋"/>
      <w:szCs w:val="24"/>
      <w:lang w:val="zh-CN" w:eastAsia="zh-CN"/>
    </w:rPr>
  </w:style>
  <w:style w:type="table" w:customStyle="1" w:styleId="58">
    <w:name w:val="网格型1"/>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Normal_1"/>
    <w:qFormat/>
    <w:uiPriority w:val="0"/>
    <w:rPr>
      <w:rFonts w:ascii="Times New Roman" w:hAnsi="Times New Roman" w:eastAsia="Times New Roman" w:cs="Times New Roman"/>
      <w:sz w:val="24"/>
      <w:szCs w:val="24"/>
      <w:lang w:val="en-US" w:eastAsia="zh-CN" w:bidi="ar-SA"/>
    </w:rPr>
  </w:style>
  <w:style w:type="paragraph" w:customStyle="1" w:styleId="6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1">
    <w:name w:val="表格正文"/>
    <w:basedOn w:val="1"/>
    <w:qFormat/>
    <w:uiPriority w:val="0"/>
    <w:pPr>
      <w:jc w:val="center"/>
      <w:textAlignment w:val="baseline"/>
    </w:pPr>
    <w:rPr>
      <w:rFonts w:ascii="Times New Roman" w:hAnsi="Times New Roman" w:cs="Times New Roman"/>
      <w:sz w:val="24"/>
      <w:szCs w:val="21"/>
    </w:rPr>
  </w:style>
  <w:style w:type="paragraph" w:customStyle="1" w:styleId="62">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44fde263-bf18-45b7-944e-396e5dc93edd</errorID>
      <errorWord>上午0:00</errorWord>
      <group>L1_Knowledge</group>
      <groupName>知识性问题</groupName>
      <ability>L2_Time</ability>
      <abilityName>日期时间</abilityName>
      <candidateList/>
      <explain>时间与前缀不匹配，可能的时间前缀有“下午、晚上、凌晨、午夜”。</explain>
      <paraID>532ECE73</paraID>
      <start>36</start>
      <end>42</end>
      <status>unmodified</status>
      <modifiedWord/>
      <trackRevisions>false</trackRevisions>
    </reviewItem>
    <reviewItem>
      <errorID>048a7d58-6fa9-413f-8d67-fe00a7ac411f</errorID>
      <errorWord>合肥市经济技术开发区</errorWord>
      <group>L1_Word</group>
      <groupName>字词问题</groupName>
      <ability>L2_Typo</ability>
      <abilityName>字词错误</abilityName>
      <candidateList>
        <item>合肥经济技术开发区</item>
      </candidateList>
      <explain/>
      <paraID>446C7371</paraID>
      <start>7</start>
      <end>17</end>
      <status>unmodified</status>
      <modifiedWord/>
      <trackRevisions>false</trackRevisions>
    </reviewItem>
    <reviewItem>
      <errorID>7c67ac50-3095-49fa-888e-8acbd3a0abf9</errorID>
      <errorWord>合肥市经济技术开发区</errorWord>
      <group>L1_Word</group>
      <groupName>字词问题</groupName>
      <ability>L2_Typo</ability>
      <abilityName>字词错误</abilityName>
      <candidateList>
        <item>合肥经济技术开发区</item>
      </candidateList>
      <explain/>
      <paraID>55A99BA0</paraID>
      <start>8</start>
      <end>18</end>
      <status>unmodified</status>
      <modifiedWord/>
      <trackRevisions>false</trackRevisions>
    </reviewItem>
    <reviewItem>
      <errorID>54051c07-48b3-4967-a9c0-62853ac943b6</errorID>
      <errorWord>合肥市经济技术开发区</errorWord>
      <group>L1_Word</group>
      <groupName>字词问题</groupName>
      <ability>L2_Typo</ability>
      <abilityName>字词错误</abilityName>
      <candidateList>
        <item>合肥经济技术开发区</item>
      </candidateList>
      <explain/>
      <paraID>41245840</paraID>
      <start>49</start>
      <end>59</end>
      <status>unmodified</status>
      <modifiedWord/>
      <trackRevisions>false</trackRevisions>
    </reviewItem>
    <reviewItem>
      <errorID>31f72d60-fff7-448e-a8c7-a07ba5c7ab4b</errorID>
      <errorWord>合肥市经济技术开发区</errorWord>
      <group>L1_Word</group>
      <groupName>字词问题</groupName>
      <ability>L2_Typo</ability>
      <abilityName>字词错误</abilityName>
      <candidateList>
        <item>合肥经济技术开发区</item>
      </candidateList>
      <explain/>
      <paraID>5199D99F</paraID>
      <start>7</start>
      <end>17</end>
      <status>unmodified</status>
      <modifiedWord/>
      <trackRevisions>false</trackRevisions>
    </reviewItem>
    <reviewItem>
      <errorID>685491ef-701d-4a41-bfba-47ca78046cd9</errorID>
      <errorWord>下午13:30</errorWord>
      <group>L1_Knowledge</group>
      <groupName>知识性问题</groupName>
      <ability>L2_Time</ability>
      <abilityName>日期时间</abilityName>
      <candidateList>
        <item>13:30</item>
      </candidateList>
      <explain>24小时制的时间，不需要强调“下午”。</explain>
      <paraID>3975F83E</paraID>
      <start>38</start>
      <end>45</end>
      <status>unmodified</status>
      <modifiedWord/>
      <trackRevisions>false</trackRevisions>
    </reviewItem>
    <reviewItem>
      <errorID>458202a5-ecb4-40e0-8ae0-763713cfa81d</errorID>
      <errorWord>合肥市经济技术开发区</errorWord>
      <group>L1_Word</group>
      <groupName>字词问题</groupName>
      <ability>L2_Typo</ability>
      <abilityName>字词错误</abilityName>
      <candidateList>
        <item>合肥经济技术开发区</item>
      </candidateList>
      <explain/>
      <paraID>6B4DF85D</paraID>
      <start>7</start>
      <end>17</end>
      <status>unmodified</status>
      <modifiedWord/>
      <trackRevisions>false</trackRevisions>
    </reviewItem>
    <reviewItem>
      <errorID>ff383e2c-1fdb-4491-a6c3-872d3e23f914</errorID>
      <errorWord>：</errorWord>
      <group>L1_Word</group>
      <groupName>字词问题</groupName>
      <ability>L2_Typo</ability>
      <abilityName>字词错误</abilityName>
      <candidateList>
        <item>：以</item>
      </candidateList>
      <explain/>
      <paraID>193F0CCC</paraID>
      <start>4</start>
      <end>5</end>
      <status>unmodified</status>
      <modifiedWord/>
      <trackRevisions>false</trackRevisions>
    </reviewItem>
    <reviewItem>
      <errorID>fa5ac324-3a23-4d16-bc6b-9eb7bd2e992b</errorID>
      <errorWord>合肥市经济技术开发区</errorWord>
      <group>L1_Word</group>
      <groupName>字词问题</groupName>
      <ability>L2_Typo</ability>
      <abilityName>字词错误</abilityName>
      <candidateList>
        <item>合肥经济技术开发区</item>
      </candidateList>
      <explain/>
      <paraID> F79E9C4</paraID>
      <start>5</start>
      <end>15</end>
      <status>unmodified</status>
      <modifiedWord/>
      <trackRevisions>false</trackRevisions>
    </reviewItem>
    <reviewItem>
      <errorID>1b6824ca-0b45-43c3-ab6e-e84012ba80a6</errorID>
      <errorWord>权利</errorWord>
      <group>L1_Word</group>
      <groupName>字词问题</groupName>
      <ability>L2_Typo</ability>
      <abilityName>字词错误</abilityName>
      <candidateList>
        <item>权力</item>
      </candidateList>
      <explain>〈名〉❶政治上的强制力量：国家～｜全国人民代表大会是最高国家～机关。❷职责范围内的支配力量：行使大会主席的～。</explain>
      <paraID> A8E13DF</paraID>
      <start>26</start>
      <end>28</end>
      <status>unmodified</status>
      <modifiedWord/>
      <trackRevisions>false</trackRevisions>
    </reviewItem>
    <reviewItem>
      <errorID>36ac62cb-a9ce-4b39-adeb-a6bf0acf8436</errorID>
      <errorWord>，</errorWord>
      <group>L1_Word</group>
      <groupName>字词问题</groupName>
      <ability>L2_Typo</ability>
      <abilityName>字词错误</abilityName>
      <candidateList>
        <item>，具</item>
      </candidateList>
      <explain/>
      <paraID>5607D37C</paraID>
      <start>28</start>
      <end>29</end>
      <status>unmodified</status>
      <modifiedWord/>
      <trackRevisions>false</trackRevisions>
    </reviewItem>
    <reviewItem>
      <errorID>f250b275-55ad-460b-a835-b7dd7f1187f0</errorID>
      <errorWord>：：</errorWord>
      <group>L1_Punc</group>
      <groupName>标点问题</groupName>
      <ability>L2_Punc_CN</ability>
      <abilityName>标点符号问题</abilityName>
      <candidateList>
        <item>：</item>
      </candidateList>
      <explain/>
      <paraID>248B887A</paraID>
      <start>29</start>
      <end>31</end>
      <status>unmodified</status>
      <modifiedWord/>
      <trackRevisions>false</trackRevisions>
    </reviewItem>
    <reviewItem>
      <errorID>d97db6a4-58ba-4d58-8e46-fb65070b8295</errorID>
      <errorWord>，</errorWord>
      <group>L1_Word</group>
      <groupName>字词问题</groupName>
      <ability>L2_Typo</ability>
      <abilityName>字词错误</abilityName>
      <candidateList>
        <item>，具</item>
      </candidateList>
      <explain/>
      <paraID> E51DD1F</paraID>
      <start>36</start>
      <end>37</end>
      <status>unmodified</status>
      <modifiedWord/>
      <trackRevisions>false</trackRevisions>
    </reviewItem>
    <reviewItem>
      <errorID>033966ea-43b0-46c9-aaf0-d8e4c62248f2</errorID>
      <errorWord>，</errorWord>
      <group>L1_Word</group>
      <groupName>字词问题</groupName>
      <ability>L2_Typo</ability>
      <abilityName>字词错误</abilityName>
      <candidateList>
        <item>，将</item>
      </candidateList>
      <explain/>
      <paraID>257F6692</paraID>
      <start>73</start>
      <end>74</end>
      <status>unmodified</status>
      <modifiedWord/>
      <trackRevisions>false</trackRevisions>
    </reviewItem>
    <reviewItem>
      <errorID>c6a2892e-be3b-4c43-97a0-790d4ad80a20</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695D00A9</paraID>
      <start>63</start>
      <end>67</end>
      <status>unmodified</status>
      <modifiedWord/>
      <trackRevisions>false</trackRevisions>
    </reviewItem>
    <reviewItem>
      <errorID>74c91b9f-54d8-4c9f-b632-a9f33dca8ca2</errorID>
      <errorWord>响应文件做</errorWord>
      <group>L1_Word</group>
      <groupName>字词问题</groupName>
      <ability>L2_Typo</ability>
      <abilityName>字词错误</abilityName>
      <candidateList>
        <item>响应文件作</item>
      </candidateList>
      <explain/>
      <paraID>  CFB55F</paraID>
      <start>25</start>
      <end>30</end>
      <status>unmodified</status>
      <modifiedWord/>
      <trackRevisions>false</trackRevisions>
    </reviewItem>
    <reviewItem>
      <errorID>99ba26a1-23a6-47fc-806a-16a8fa37a7ba</errorID>
      <errorWord>接收</errorWord>
      <group>L1_Word</group>
      <groupName>字词问题</groupName>
      <ability>L2_Typo</ability>
      <abilityName>字词错误</abilityName>
      <candidateList>
        <item>接受</item>
      </candidateList>
      <explain>存在发音相同字词的误用。</explain>
      <paraID>34BE6079</paraID>
      <start>9</start>
      <end>11</end>
      <status>unmodified</status>
      <modifiedWord/>
      <trackRevisions>false</trackRevisions>
    </reviewItem>
    <reviewItem>
      <errorID>f42c8ada-2cec-490a-8398-21b12e3232c3</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78EBEC3F</paraID>
      <start>43</start>
      <end>47</end>
      <status>unmodified</status>
      <modifiedWord/>
      <trackRevisions>false</trackRevisions>
    </reviewItem>
    <reviewItem>
      <errorID>433811e2-d026-4224-93ac-6c0774acd27e</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 3B81446</paraID>
      <start>73</start>
      <end>77</end>
      <status>unmodified</status>
      <modifiedWord/>
      <trackRevisions>false</trackRevisions>
    </reviewItem>
    <reviewItem>
      <errorID>5f2832ea-89a3-4646-b43e-a2fe0dedde21</errorID>
      <errorWord>..</errorWord>
      <group>L1_Punc</group>
      <groupName>标点问题</groupName>
      <ability>L2_Punc_CN</ability>
      <abilityName>标点符号问题</abilityName>
      <candidateList>
        <item>.</item>
      </candidateList>
      <explain/>
      <paraID>29EF7178</paraID>
      <start>1</start>
      <end>3</end>
      <status>unmodified</status>
      <modifiedWord/>
      <trackRevisions>false</trackRevisions>
    </reviewItem>
    <reviewItem>
      <errorID>425c519d-1bd0-4c7c-91c7-1e45de51c89d</errorID>
      <errorWord>表中</errorWord>
      <group>L1_Word</group>
      <groupName>字词问题</groupName>
      <ability>L2_Typo</ability>
      <abilityName>字词错误</abilityName>
      <candidateList>
        <item>表</item>
      </candidateList>
      <explain/>
      <paraID>1B1097BD</paraID>
      <start>41</start>
      <end>43</end>
      <status>unmodified</status>
      <modifiedWord/>
      <trackRevisions>false</trackRevisions>
    </reviewItem>
    <reviewItem>
      <errorID>a4bde29b-972d-4fce-b895-4909d5e23187</errorID>
      <errorWord>做</errorWord>
      <group>L1_Word</group>
      <groupName>字词问题</groupName>
      <ability>L2_Typo</ability>
      <abilityName>字词错误</abilityName>
      <candidateList>
        <item>作</item>
      </candidateList>
      <explain>存在发音相同字词的误用。</explain>
      <paraID> 1143101</paraID>
      <start>62</start>
      <end>63</end>
      <status>unmodified</status>
      <modifiedWord/>
      <trackRevisions>false</trackRevisions>
    </reviewItem>
    <reviewItem>
      <errorID>8dcfb597-8bf6-410d-92ff-ec5fb4247852</errorID>
      <errorWord>。</errorWord>
      <group>L1_Punc</group>
      <groupName>标点问题</groupName>
      <ability>L2_Punc_CN</ability>
      <abilityName>标点符号问题</abilityName>
      <candidateList/>
      <explain/>
      <paraID>590D6EB4</paraID>
      <start>0</start>
      <end>1</end>
      <status>unmodified</status>
      <modifiedWord/>
      <trackRevisions>false</trackRevisions>
    </reviewItem>
    <reviewItem>
      <errorID>846d5737-5170-4872-b4d8-28c2ad6141f0</errorID>
      <errorWord>科学合理的</errorWord>
      <group>L1_Word</group>
      <groupName>字词问题</groupName>
      <ability>L2_Typo</ability>
      <abilityName>字词错误</abilityName>
      <candidateList>
        <item>科学合理</item>
      </candidateList>
      <explain/>
      <paraID> 9D4EE84</paraID>
      <start>12</start>
      <end>17</end>
      <status>unmodified</status>
      <modifiedWord/>
      <trackRevisions>false</trackRevisions>
    </reviewItem>
    <reviewItem>
      <errorID>b596efa3-42c1-4fac-a557-b2c6a4c16638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4A04025B</paraID>
      <start>0</start>
      <end>2</end>
      <status>unmodified</status>
      <modifiedWord/>
      <trackRevisions>false</trackRevisions>
    </reviewItem>
    <reviewItem>
      <errorID>ca8da354-9b30-4410-be1a-7cdb15038307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31AF919B</paraID>
      <start>0</start>
      <end>2</end>
      <status>unmodified</status>
      <modifiedWord/>
      <trackRevisions>false</trackRevisions>
    </reviewItem>
    <reviewItem>
      <errorID>93a0174d-6f4a-4cf2-a3cd-29a3173d076a</errorID>
      <errorWord>(</errorWord>
      <group>L1_Format</group>
      <groupName>格式问题</groupName>
      <ability>L2_HalfPunc_CN</ability>
      <abilityName>全半角问题</abilityName>
      <candidateList>
        <item>（</item>
      </candidateList>
      <explain>文本全半角错误。</explain>
      <paraID>22E7C837</paraID>
      <start>31</start>
      <end>32</end>
      <status>unmodified</status>
      <modifiedWord/>
      <trackRevisions>false</trackRevisions>
    </reviewItem>
    <reviewItem>
      <errorID>1a1b9bd9-25fd-4a89-855b-729aae7f6deb</errorID>
      <errorWord>)</errorWord>
      <group>L1_Format</group>
      <groupName>格式问题</groupName>
      <ability>L2_HalfPunc_CN</ability>
      <abilityName>全半角问题</abilityName>
      <candidateList>
        <item>）</item>
      </candidateList>
      <explain>文本全半角错误。</explain>
      <paraID>22E7C837</paraID>
      <start>37</start>
      <end>38</end>
      <status>unmodified</status>
      <modifiedWord/>
      <trackRevisions>false</trackRevisions>
    </reviewItem>
    <reviewItem>
      <errorID>7a3fed6c-8cb9-489c-ae2d-6541857efb42</errorID>
      <errorWord>(</errorWord>
      <group>L1_Format</group>
      <groupName>格式问题</groupName>
      <ability>L2_HalfPunc_CN</ability>
      <abilityName>全半角问题</abilityName>
      <candidateList>
        <item>（</item>
      </candidateList>
      <explain>文本全半角错误。</explain>
      <paraID>22E7C837</paraID>
      <start>47</start>
      <end>48</end>
      <status>unmodified</status>
      <modifiedWord/>
      <trackRevisions>false</trackRevisions>
    </reviewItem>
    <reviewItem>
      <errorID>914e33a0-d415-41d7-93ca-2b9a748a9ff9</errorID>
      <errorWord>)</errorWord>
      <group>L1_Format</group>
      <groupName>格式问题</groupName>
      <ability>L2_HalfPunc_CN</ability>
      <abilityName>全半角问题</abilityName>
      <candidateList>
        <item>）</item>
      </candidateList>
      <explain>文本全半角错误。</explain>
      <paraID>22E7C837</paraID>
      <start>57</start>
      <end>58</end>
      <status>unmodified</status>
      <modifiedWord/>
      <trackRevisions>false</trackRevisions>
    </reviewItem>
    <reviewItem>
      <errorID>f9bd76e0-f39e-4974-a140-f8e02ac37ced</errorID>
      <errorWord>汉语书就、变更和</errorWord>
      <group>L1_Word</group>
      <groupName>字词问题</groupName>
      <ability>L2_Typo</ability>
      <abilityName>字词错误</abilityName>
      <candidateList>
        <item>汉语书写、变更和</item>
      </candidateList>
      <explain/>
      <paraID>787447CE</paraID>
      <start>10</start>
      <end>18</end>
      <status>unmodified</status>
      <modifiedWord/>
      <trackRevisions>false</trackRevisions>
    </reviewItem>
    <reviewItem>
      <errorID>3db9f343-6d12-488d-aacc-910a627dcd77</errorID>
      <errorWord>,</errorWord>
      <group>L1_Format</group>
      <groupName>格式问题</groupName>
      <ability>L2_HalfPunc_CN</ability>
      <abilityName>全半角问题</abilityName>
      <candidateList>
        <item>，</item>
      </candidateList>
      <explain>文本全半角错误。</explain>
      <paraID>5FC804BF</paraID>
      <start>28</start>
      <end>29</end>
      <status>unmodified</status>
      <modifiedWord/>
      <trackRevisions>false</trackRevisions>
    </reviewItem>
    <reviewItem>
      <errorID>a96264f2-8b4f-40c4-9869-3223137850bd</errorID>
      <errorWord>(</errorWord>
      <group>L1_Format</group>
      <groupName>格式问题</groupName>
      <ability>L2_HalfPunc_CN</ability>
      <abilityName>全半角问题</abilityName>
      <candidateList>
        <item>（</item>
      </candidateList>
      <explain>文本全半角错误。</explain>
      <paraID>523197F1</paraID>
      <start>0</start>
      <end>1</end>
      <status>unmodified</status>
      <modifiedWord/>
      <trackRevisions>false</trackRevisions>
    </reviewItem>
    <reviewItem>
      <errorID>1b29aeaf-81a3-4c81-8cc0-0029535b2230</errorID>
      <errorWord>，</errorWord>
      <group>L1_Word</group>
      <groupName>字词问题</groupName>
      <ability>L2_Typo</ability>
      <abilityName>字词错误</abilityName>
      <candidateList>
        <item>，在</item>
      </candidateList>
      <explain/>
      <paraID>56C81E09</paraID>
      <start>48</start>
      <end>49</end>
      <status>unmodified</status>
      <modifiedWord/>
      <trackRevisions>false</trackRevisions>
    </reviewItem>
    <reviewItem>
      <errorID>fb834933-a07c-4aa2-a949-7123896865dc</errorID>
      <errorWord>程</errorWord>
      <group>L1_Word</group>
      <groupName>字词问题</groupName>
      <ability>L2_Typo</ability>
      <abilityName>字词错误</abilityName>
      <candidateList>
        <item>程中</item>
      </candidateList>
      <explain/>
      <paraID>3122B515</paraID>
      <start>73</start>
      <end>74</end>
      <status>unmodified</status>
      <modifiedWord/>
      <trackRevisions>false</trackRevisions>
    </reviewItem>
    <reviewItem>
      <errorID>b0ee6ecd-d654-455a-8272-c1e917a105a8</errorID>
      <errorWord>(</errorWord>
      <group>L1_Format</group>
      <groupName>格式问题</groupName>
      <ability>L2_HalfPunc_CN</ability>
      <abilityName>全半角问题</abilityName>
      <candidateList>
        <item>（</item>
      </candidateList>
      <explain>文本全半角错误。</explain>
      <paraID>2752A29B</paraID>
      <start>0</start>
      <end>1</end>
      <status>unmodified</status>
      <modifiedWord/>
      <trackRevisions>false</trackRevisions>
    </reviewItem>
    <reviewItem>
      <errorID>96125852-3fa2-4e94-86d1-9f778ba4c40f</errorID>
      <errorWord>)</errorWord>
      <group>L1_Format</group>
      <groupName>格式问题</groupName>
      <ability>L2_HalfPunc_CN</ability>
      <abilityName>全半角问题</abilityName>
      <candidateList>
        <item>）</item>
      </candidateList>
      <explain>文本全半角错误。</explain>
      <paraID>2752A29B</paraID>
      <start>9</start>
      <end>10</end>
      <status>unmodified</status>
      <modifiedWord/>
      <trackRevisions>false</trackRevisions>
    </reviewItem>
    <reviewItem>
      <errorID>345bae02-5126-4868-80b3-7f2ddcfa4818</errorID>
      <errorWord>(</errorWord>
      <group>L1_Format</group>
      <groupName>格式问题</groupName>
      <ability>L2_HalfPunc_CN</ability>
      <abilityName>全半角问题</abilityName>
      <candidateList>
        <item>（</item>
      </candidateList>
      <explain>文本全半角错误。</explain>
      <paraID>601C6F91</paraID>
      <start>0</start>
      <end>1</end>
      <status>unmodified</status>
      <modifiedWord/>
      <trackRevisions>false</trackRevisions>
    </reviewItem>
    <reviewItem>
      <errorID>9196013d-f7cf-4731-90aa-bbf5298e5eaa</errorID>
      <errorWord>)</errorWord>
      <group>L1_Format</group>
      <groupName>格式问题</groupName>
      <ability>L2_HalfPunc_CN</ability>
      <abilityName>全半角问题</abilityName>
      <candidateList>
        <item>）</item>
      </candidateList>
      <explain>文本全半角错误。</explain>
      <paraID>601C6F91</paraID>
      <start>11</start>
      <end>12</end>
      <status>unmodified</status>
      <modifiedWord/>
      <trackRevisions>false</trackRevisions>
    </reviewItem>
    <reviewItem>
      <errorID>cbdbc957-2d7e-40d6-9c4d-eba5c6a4b2eb</errorID>
      <errorWord>(</errorWord>
      <group>L1_Format</group>
      <groupName>格式问题</groupName>
      <ability>L2_HalfPunc_CN</ability>
      <abilityName>全半角问题</abilityName>
      <candidateList>
        <item>（</item>
      </candidateList>
      <explain>文本全半角错误。</explain>
      <paraID>3A7D99F2</paraID>
      <start>0</start>
      <end>1</end>
      <status>unmodified</status>
      <modifiedWord/>
      <trackRevisions>false</trackRevisions>
    </reviewItem>
    <reviewItem>
      <errorID>7fe1a57f-a59c-42ac-ac9a-3e18f8c84609</errorID>
      <errorWord>)</errorWord>
      <group>L1_Format</group>
      <groupName>格式问题</groupName>
      <ability>L2_HalfPunc_CN</ability>
      <abilityName>全半角问题</abilityName>
      <candidateList>
        <item>）</item>
      </candidateList>
      <explain>文本全半角错误。</explain>
      <paraID>3A7D99F2</paraID>
      <start>11</start>
      <end>12</end>
      <status>unmodified</status>
      <modifiedWord/>
      <trackRevisions>false</trackRevisions>
    </reviewItem>
    <reviewItem>
      <errorID>37b1ee0d-728f-4626-8a14-8911a19402c2</errorID>
      <errorWord>意</errorWord>
      <group>L1_Word</group>
      <groupName>字词问题</groupName>
      <ability>L2_Typo</ability>
      <abilityName>字词错误</abilityName>
      <candidateList>
        <item>意在</item>
      </candidateList>
      <explain/>
      <paraID>5368C9E4</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735d2e1f-d2b9-4eb3-8cc5-a56e66cf10a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50</Pages>
  <Words>8651</Words>
  <Characters>9356</Characters>
  <Lines>180</Lines>
  <Paragraphs>50</Paragraphs>
  <TotalTime>27</TotalTime>
  <ScaleCrop>false</ScaleCrop>
  <LinksUpToDate>false</LinksUpToDate>
  <CharactersWithSpaces>9579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2020-07-01T03:04:00Z</dcterms:created>
  <dc:creator>Anakin</dc:creator>
  <cp:lastModifiedBy>鼎信</cp:lastModifiedBy>
  <cp:lastPrinted>2019-12-08T07:20:00Z</cp:lastPrinted>
  <dcterms:modified xsi:type="dcterms:W3CDTF">2026-06-18T09:49:18Z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5AF146282F7744B39771F68A3B8A5995_13</vt:lpwstr>
  </property>
  <property fmtid="{D5CDD505-2E9C-101B-9397-08002B2CF9AE}" pid="4" name="KSOTemplateDocerSaveRecord">
    <vt:lpwstr>eyJoZGlkIjoiYTM1ZDFmZTFlYWZhNThlMWI4ODlmNzExYzY3NDE5ZmMiLCJ1c2VySWQiOiIyNDQzNzczNjUifQ==</vt:lpwstr>
  </property>
</Properties>
</file>