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B3DA" w14:textId="3C178BB9" w:rsidR="001C43F8" w:rsidRPr="00A81BF0" w:rsidRDefault="001C43F8" w:rsidP="00A81BF0">
      <w:pPr>
        <w:adjustRightInd w:val="0"/>
        <w:snapToGrid w:val="0"/>
        <w:ind w:firstLineChars="200" w:firstLine="602"/>
        <w:jc w:val="center"/>
        <w:rPr>
          <w:rFonts w:ascii="宋体" w:eastAsia="宋体" w:hAnsi="宋体"/>
          <w:b/>
          <w:bCs/>
          <w:sz w:val="30"/>
          <w:szCs w:val="30"/>
        </w:rPr>
      </w:pPr>
      <w:r w:rsidRPr="00A81BF0">
        <w:rPr>
          <w:rFonts w:ascii="宋体" w:eastAsia="宋体" w:hAnsi="宋体"/>
          <w:b/>
          <w:bCs/>
          <w:sz w:val="30"/>
          <w:szCs w:val="30"/>
        </w:rPr>
        <w:t>202</w:t>
      </w:r>
      <w:r w:rsidR="00A82CC0">
        <w:rPr>
          <w:rFonts w:ascii="宋体" w:eastAsia="宋体" w:hAnsi="宋体"/>
          <w:b/>
          <w:bCs/>
          <w:sz w:val="30"/>
          <w:szCs w:val="30"/>
        </w:rPr>
        <w:t>6</w:t>
      </w:r>
      <w:r w:rsidR="00A82CC0">
        <w:rPr>
          <w:rFonts w:ascii="宋体" w:eastAsia="宋体" w:hAnsi="宋体" w:hint="eastAsia"/>
          <w:b/>
          <w:bCs/>
          <w:sz w:val="30"/>
          <w:szCs w:val="30"/>
        </w:rPr>
        <w:t>年度</w:t>
      </w:r>
      <w:r w:rsidRPr="00A81BF0">
        <w:rPr>
          <w:rFonts w:ascii="宋体" w:eastAsia="宋体" w:hAnsi="宋体"/>
          <w:b/>
          <w:bCs/>
          <w:sz w:val="30"/>
          <w:szCs w:val="30"/>
        </w:rPr>
        <w:t>前沿交叉</w:t>
      </w:r>
      <w:r w:rsidR="00D34390" w:rsidRPr="00A81BF0">
        <w:rPr>
          <w:rFonts w:ascii="宋体" w:eastAsia="宋体" w:hAnsi="宋体" w:hint="eastAsia"/>
          <w:b/>
          <w:bCs/>
          <w:sz w:val="30"/>
          <w:szCs w:val="30"/>
        </w:rPr>
        <w:t>科学</w:t>
      </w:r>
      <w:r w:rsidRPr="00A81BF0">
        <w:rPr>
          <w:rFonts w:ascii="宋体" w:eastAsia="宋体" w:hAnsi="宋体"/>
          <w:b/>
          <w:bCs/>
          <w:sz w:val="30"/>
          <w:szCs w:val="30"/>
        </w:rPr>
        <w:t>与生物医学研究所</w:t>
      </w:r>
    </w:p>
    <w:p w14:paraId="1F45FD00" w14:textId="529131DF" w:rsidR="00675932" w:rsidRPr="00A81BF0" w:rsidRDefault="001C43F8" w:rsidP="00A81BF0">
      <w:pPr>
        <w:adjustRightInd w:val="0"/>
        <w:snapToGrid w:val="0"/>
        <w:ind w:firstLineChars="200" w:firstLine="602"/>
        <w:jc w:val="center"/>
        <w:rPr>
          <w:rFonts w:ascii="宋体" w:eastAsia="宋体" w:hAnsi="宋体"/>
          <w:b/>
          <w:bCs/>
          <w:sz w:val="30"/>
          <w:szCs w:val="30"/>
        </w:rPr>
      </w:pPr>
      <w:r w:rsidRPr="00A81BF0">
        <w:rPr>
          <w:rFonts w:ascii="宋体" w:eastAsia="宋体" w:hAnsi="宋体"/>
          <w:b/>
          <w:bCs/>
          <w:sz w:val="30"/>
          <w:szCs w:val="30"/>
        </w:rPr>
        <w:t>源头创新项目指南</w:t>
      </w:r>
    </w:p>
    <w:p w14:paraId="16E3FB6C" w14:textId="77777777" w:rsidR="00861393" w:rsidRPr="00861393" w:rsidRDefault="00A81BF0" w:rsidP="00A81BF0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861393">
        <w:rPr>
          <w:rFonts w:ascii="宋体" w:eastAsia="宋体" w:hAnsi="宋体"/>
          <w:b/>
          <w:bCs/>
          <w:sz w:val="28"/>
          <w:szCs w:val="28"/>
        </w:rPr>
        <w:t>总述</w:t>
      </w:r>
    </w:p>
    <w:p w14:paraId="598D57EE" w14:textId="7D032A32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六大方向围绕 "肿瘤与炎症相关重大疾病的机制解析–靶标发现–工具创制–精准干预" 完整创新链条布局。方向</w:t>
      </w:r>
      <w:proofErr w:type="gramStart"/>
      <w:r w:rsidRPr="00A81BF0">
        <w:rPr>
          <w:rFonts w:ascii="宋体" w:eastAsia="宋体" w:hAnsi="宋体"/>
          <w:sz w:val="28"/>
          <w:szCs w:val="28"/>
        </w:rPr>
        <w:t>一</w:t>
      </w:r>
      <w:proofErr w:type="gramEnd"/>
      <w:r w:rsidRPr="00A81BF0">
        <w:rPr>
          <w:rFonts w:ascii="宋体" w:eastAsia="宋体" w:hAnsi="宋体"/>
          <w:sz w:val="28"/>
          <w:szCs w:val="28"/>
        </w:rPr>
        <w:t>（</w:t>
      </w:r>
      <w:r w:rsidR="00BB59D7" w:rsidRPr="00BB59D7">
        <w:rPr>
          <w:rFonts w:ascii="宋体" w:eastAsia="宋体" w:hAnsi="宋体"/>
          <w:sz w:val="28"/>
          <w:szCs w:val="28"/>
        </w:rPr>
        <w:t>肿瘤细胞命运决定机制解析与新靶点干预</w:t>
      </w:r>
      <w:r w:rsidRPr="00A81BF0">
        <w:rPr>
          <w:rFonts w:ascii="宋体" w:eastAsia="宋体" w:hAnsi="宋体"/>
          <w:sz w:val="28"/>
          <w:szCs w:val="28"/>
        </w:rPr>
        <w:t>）与方向二（固有免疫与防御系统）聚焦底层机制与靶点发现；方向三（新型镇痛药物研发）面向独立重大临床需求，与方向</w:t>
      </w:r>
      <w:proofErr w:type="gramStart"/>
      <w:r w:rsidRPr="00A81BF0">
        <w:rPr>
          <w:rFonts w:ascii="宋体" w:eastAsia="宋体" w:hAnsi="宋体"/>
          <w:sz w:val="28"/>
          <w:szCs w:val="28"/>
        </w:rPr>
        <w:t>一</w:t>
      </w:r>
      <w:proofErr w:type="gramEnd"/>
      <w:r w:rsidR="00EE6848">
        <w:rPr>
          <w:rFonts w:ascii="宋体" w:eastAsia="宋体" w:hAnsi="宋体" w:hint="eastAsia"/>
          <w:sz w:val="28"/>
          <w:szCs w:val="28"/>
        </w:rPr>
        <w:t>与方向</w:t>
      </w:r>
      <w:proofErr w:type="gramStart"/>
      <w:r w:rsidRPr="00A81BF0">
        <w:rPr>
          <w:rFonts w:ascii="宋体" w:eastAsia="宋体" w:hAnsi="宋体"/>
          <w:sz w:val="28"/>
          <w:szCs w:val="28"/>
        </w:rPr>
        <w:t>二形成</w:t>
      </w:r>
      <w:proofErr w:type="gramEnd"/>
      <w:r w:rsidRPr="00A81BF0">
        <w:rPr>
          <w:rFonts w:ascii="宋体" w:eastAsia="宋体" w:hAnsi="宋体"/>
          <w:sz w:val="28"/>
          <w:szCs w:val="28"/>
        </w:rPr>
        <w:t>"病因干预+症状治疗"协同互补；方向四（合成生物制造）与方向五（精准/再生医学）聚焦产品与策略开发；方向六（前沿交叉技术平台）为全链条提供底层工具支撑。六者形成"机制牵引–症状干预–产品开发–工具赋能"的有机整体。</w:t>
      </w:r>
    </w:p>
    <w:p w14:paraId="10DC1DA8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1E733508" w14:textId="02FFE31E" w:rsidR="00A81BF0" w:rsidRPr="00A81BF0" w:rsidRDefault="00FB3F54" w:rsidP="00A81BF0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方向（一）</w:t>
      </w:r>
      <w:r w:rsidR="00A81BF0" w:rsidRPr="00A81BF0">
        <w:rPr>
          <w:rFonts w:ascii="宋体" w:eastAsia="宋体" w:hAnsi="宋体"/>
          <w:b/>
          <w:bCs/>
          <w:sz w:val="28"/>
          <w:szCs w:val="28"/>
        </w:rPr>
        <w:t>肿瘤细胞命运决定与微环境感知的机制解析及靶向干预</w:t>
      </w:r>
    </w:p>
    <w:p w14:paraId="7C4BA3E5" w14:textId="77777777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研究内容</w:t>
      </w:r>
    </w:p>
    <w:p w14:paraId="038AEDA1" w14:textId="1C122A5A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A81BF0">
        <w:rPr>
          <w:rFonts w:ascii="宋体" w:eastAsia="宋体" w:hAnsi="宋体"/>
          <w:sz w:val="28"/>
          <w:szCs w:val="28"/>
        </w:rPr>
        <w:t>本方向</w:t>
      </w:r>
      <w:proofErr w:type="gramEnd"/>
      <w:r w:rsidRPr="00A81BF0">
        <w:rPr>
          <w:rFonts w:ascii="宋体" w:eastAsia="宋体" w:hAnsi="宋体"/>
          <w:sz w:val="28"/>
          <w:szCs w:val="28"/>
        </w:rPr>
        <w:t>关注肿瘤细胞在微环境压力下的休眠、激活、耐药、转移</w:t>
      </w:r>
      <w:proofErr w:type="gramStart"/>
      <w:r w:rsidRPr="00A81BF0">
        <w:rPr>
          <w:rFonts w:ascii="宋体" w:eastAsia="宋体" w:hAnsi="宋体"/>
          <w:sz w:val="28"/>
          <w:szCs w:val="28"/>
        </w:rPr>
        <w:t>等命运</w:t>
      </w:r>
      <w:proofErr w:type="gramEnd"/>
      <w:r w:rsidRPr="00A81BF0">
        <w:rPr>
          <w:rFonts w:ascii="宋体" w:eastAsia="宋体" w:hAnsi="宋体"/>
          <w:sz w:val="28"/>
          <w:szCs w:val="28"/>
        </w:rPr>
        <w:t>决定事件。重点研究：（1）微环境–表观遗传交互调控驱动肿瘤恶性演进的通路与节点；（2）骨髓微环境唤醒休眠肿瘤细胞的分子开关；（3）酸性微环境诱导lncRNA构象开关驱动肿瘤适应性进化的机制；（4）针对耐药型乳腺癌新靶点TS5、肝源性蛋白AMBP及难成药靶点c-Myc，开发靶向干预策略与药物筛选体系。</w:t>
      </w:r>
    </w:p>
    <w:p w14:paraId="03CADAE9" w14:textId="0EB0098F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考核指标</w:t>
      </w:r>
    </w:p>
    <w:p w14:paraId="183CD093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（1）阐明微环境–表观遗传交互调控的新通路及分子机制；</w:t>
      </w:r>
    </w:p>
    <w:p w14:paraId="701A4628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（2）鉴定驱动肿瘤休眠–激活转换的关键分子开关；</w:t>
      </w:r>
    </w:p>
    <w:p w14:paraId="3B02538F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（3）识别酸性环境诱导构象改变的lncRNA"构象开关"域；</w:t>
      </w:r>
    </w:p>
    <w:p w14:paraId="634C657F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（4）建立可视化高通量筛选平台，筛选获得抗乳腺癌候选化合物并完成初步验证；阐明AMBP远程调控肿瘤免疫机制并优化</w:t>
      </w:r>
      <w:proofErr w:type="gramStart"/>
      <w:r w:rsidRPr="00A81BF0">
        <w:rPr>
          <w:rFonts w:ascii="宋体" w:eastAsia="宋体" w:hAnsi="宋体"/>
          <w:sz w:val="28"/>
          <w:szCs w:val="28"/>
        </w:rPr>
        <w:t>肝靶向</w:t>
      </w:r>
      <w:proofErr w:type="gramEnd"/>
      <w:r w:rsidRPr="00A81BF0">
        <w:rPr>
          <w:rFonts w:ascii="宋体" w:eastAsia="宋体" w:hAnsi="宋体"/>
          <w:sz w:val="28"/>
          <w:szCs w:val="28"/>
        </w:rPr>
        <w:t>纳米颗粒；获得靶向c-Myc的候选环肽分子并完成体内外活性验证；</w:t>
      </w:r>
    </w:p>
    <w:p w14:paraId="04DE9D18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（5）申请发明专利2-4项，发表高水平研究论文3-5篇。</w:t>
      </w:r>
    </w:p>
    <w:p w14:paraId="407FA4B5" w14:textId="77777777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2CC05C67" w14:textId="22464288" w:rsidR="00A81BF0" w:rsidRPr="00A81BF0" w:rsidRDefault="00FB3F54" w:rsidP="00A81BF0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lastRenderedPageBreak/>
        <w:t>方向（二）</w:t>
      </w:r>
      <w:r w:rsidR="00A81BF0" w:rsidRPr="00A81BF0">
        <w:rPr>
          <w:rFonts w:ascii="宋体" w:eastAsia="宋体" w:hAnsi="宋体"/>
          <w:b/>
          <w:bCs/>
          <w:sz w:val="28"/>
          <w:szCs w:val="28"/>
        </w:rPr>
        <w:t>固有免疫与细胞防御系统的功能机制及靶向调控</w:t>
      </w:r>
    </w:p>
    <w:p w14:paraId="7B572400" w14:textId="662E9C3D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研究内容</w:t>
      </w:r>
    </w:p>
    <w:p w14:paraId="2E60F403" w14:textId="590D16C0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A81BF0">
        <w:rPr>
          <w:rFonts w:ascii="宋体" w:eastAsia="宋体" w:hAnsi="宋体"/>
          <w:sz w:val="28"/>
          <w:szCs w:val="28"/>
        </w:rPr>
        <w:t>本方向</w:t>
      </w:r>
      <w:proofErr w:type="gramEnd"/>
      <w:r w:rsidRPr="00A81BF0">
        <w:rPr>
          <w:rFonts w:ascii="宋体" w:eastAsia="宋体" w:hAnsi="宋体"/>
          <w:sz w:val="28"/>
          <w:szCs w:val="28"/>
        </w:rPr>
        <w:t>关注天然免疫、自噬与DNA损伤修复三大细胞防御系统的调控机制。重点研究：（1）天然免疫关键通路（cGAS-cGAMP）新调控蛋白与cGAMP转运蛋白的发掘及功能解析；（2）</w:t>
      </w:r>
      <w:proofErr w:type="gramStart"/>
      <w:r w:rsidRPr="00A81BF0">
        <w:rPr>
          <w:rFonts w:ascii="宋体" w:eastAsia="宋体" w:hAnsi="宋体"/>
          <w:sz w:val="28"/>
          <w:szCs w:val="28"/>
        </w:rPr>
        <w:t>去泛素化</w:t>
      </w:r>
      <w:proofErr w:type="gramEnd"/>
      <w:r w:rsidRPr="00A81BF0">
        <w:rPr>
          <w:rFonts w:ascii="宋体" w:eastAsia="宋体" w:hAnsi="宋体"/>
          <w:sz w:val="28"/>
          <w:szCs w:val="28"/>
        </w:rPr>
        <w:t>酶在代谢功能障碍相关脂肪性肝病（MASLD）中的免疫调控作用；（3）"代谢异常–天然免疫紊乱"驱动免疫衰老的分子通路与核心节点。</w:t>
      </w:r>
    </w:p>
    <w:p w14:paraId="6132E6D1" w14:textId="126B7929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考核指标</w:t>
      </w:r>
    </w:p>
    <w:p w14:paraId="78CDD795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（1）鉴定天然免疫/自噬过程的新调控蛋白或cGAMP转运蛋白，阐明其分子机制及功能；</w:t>
      </w:r>
    </w:p>
    <w:p w14:paraId="0BD47268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（2）鉴定影响MASLD的关键</w:t>
      </w:r>
      <w:proofErr w:type="gramStart"/>
      <w:r w:rsidRPr="00A81BF0">
        <w:rPr>
          <w:rFonts w:ascii="宋体" w:eastAsia="宋体" w:hAnsi="宋体"/>
          <w:sz w:val="28"/>
          <w:szCs w:val="28"/>
        </w:rPr>
        <w:t>去泛素化</w:t>
      </w:r>
      <w:proofErr w:type="gramEnd"/>
      <w:r w:rsidRPr="00A81BF0">
        <w:rPr>
          <w:rFonts w:ascii="宋体" w:eastAsia="宋体" w:hAnsi="宋体"/>
          <w:sz w:val="28"/>
          <w:szCs w:val="28"/>
        </w:rPr>
        <w:t>酶，阐明其</w:t>
      </w:r>
      <w:proofErr w:type="gramStart"/>
      <w:r w:rsidRPr="00A81BF0">
        <w:rPr>
          <w:rFonts w:ascii="宋体" w:eastAsia="宋体" w:hAnsi="宋体"/>
          <w:sz w:val="28"/>
          <w:szCs w:val="28"/>
        </w:rPr>
        <w:t>调控肝脂代谢</w:t>
      </w:r>
      <w:proofErr w:type="gramEnd"/>
      <w:r w:rsidRPr="00A81BF0">
        <w:rPr>
          <w:rFonts w:ascii="宋体" w:eastAsia="宋体" w:hAnsi="宋体"/>
          <w:sz w:val="28"/>
          <w:szCs w:val="28"/>
        </w:rPr>
        <w:t>紊乱的作用机制；</w:t>
      </w:r>
    </w:p>
    <w:p w14:paraId="7035BC3F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（3）阐明"代谢异常–天然免疫紊乱"驱动衰老的分子通路，验证核心调控节点；</w:t>
      </w:r>
    </w:p>
    <w:p w14:paraId="5883AD21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（4）获得靶向新节点的特异性小分子调节剂及ATM/ATR-PROTAC降解剂，在相关疾病模型中验证治疗效果；</w:t>
      </w:r>
    </w:p>
    <w:p w14:paraId="4E95A8B9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（5）申请发明专利2-3项，发表高水平研究论文3-5篇。</w:t>
      </w:r>
    </w:p>
    <w:p w14:paraId="78331862" w14:textId="77777777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087CFDA5" w14:textId="67BDC6DD" w:rsidR="00A81BF0" w:rsidRPr="00861393" w:rsidRDefault="00FB3F54" w:rsidP="00861393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方向（三）</w:t>
      </w:r>
      <w:r w:rsidR="00A81BF0" w:rsidRPr="00861393">
        <w:rPr>
          <w:rFonts w:ascii="宋体" w:eastAsia="宋体" w:hAnsi="宋体"/>
          <w:b/>
          <w:bCs/>
          <w:sz w:val="28"/>
          <w:szCs w:val="28"/>
        </w:rPr>
        <w:t>新型镇痛药物研发</w:t>
      </w:r>
    </w:p>
    <w:p w14:paraId="3E1B5E49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研究内容</w:t>
      </w:r>
    </w:p>
    <w:p w14:paraId="3AFCEAF7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A81BF0">
        <w:rPr>
          <w:rFonts w:ascii="宋体" w:eastAsia="宋体" w:hAnsi="宋体"/>
          <w:sz w:val="28"/>
          <w:szCs w:val="28"/>
        </w:rPr>
        <w:t>本方向</w:t>
      </w:r>
      <w:proofErr w:type="gramEnd"/>
      <w:r w:rsidRPr="00A81BF0">
        <w:rPr>
          <w:rFonts w:ascii="宋体" w:eastAsia="宋体" w:hAnsi="宋体"/>
          <w:sz w:val="28"/>
          <w:szCs w:val="28"/>
        </w:rPr>
        <w:t>面向神经病理性疼痛、癌痛及慢性炎症性疼痛等重大临床未满足需求，重点研究：（1）疼痛发病的分子–细胞–环路机制，发掘新型镇痛靶点；（2）针对新靶点（尤其是GPCR等）发现并</w:t>
      </w:r>
      <w:proofErr w:type="gramStart"/>
      <w:r w:rsidRPr="00A81BF0">
        <w:rPr>
          <w:rFonts w:ascii="宋体" w:eastAsia="宋体" w:hAnsi="宋体"/>
          <w:sz w:val="28"/>
          <w:szCs w:val="28"/>
        </w:rPr>
        <w:t>优化高</w:t>
      </w:r>
      <w:proofErr w:type="gramEnd"/>
      <w:r w:rsidRPr="00A81BF0">
        <w:rPr>
          <w:rFonts w:ascii="宋体" w:eastAsia="宋体" w:hAnsi="宋体"/>
          <w:sz w:val="28"/>
          <w:szCs w:val="28"/>
        </w:rPr>
        <w:t>镇痛活性、低成瘾性的原创先导化合物。</w:t>
      </w:r>
    </w:p>
    <w:p w14:paraId="13CED468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考核指标</w:t>
      </w:r>
    </w:p>
    <w:p w14:paraId="00B768FC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（1）在分子、细胞或环路水平解析疼痛新机制；</w:t>
      </w:r>
    </w:p>
    <w:p w14:paraId="17433ECD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（2）发现并确证具有镇痛潜力的新靶点；</w:t>
      </w:r>
    </w:p>
    <w:p w14:paraId="09CCFB3F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（3）发现并优化具有全新作用机制、高镇痛活性且无成瘾性的新型镇痛先导化合物，完成初步药效与安全性评价；</w:t>
      </w:r>
    </w:p>
    <w:p w14:paraId="17CF446B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（4）申请发明专利1项，发表高水平研究论文1-2篇。</w:t>
      </w:r>
    </w:p>
    <w:p w14:paraId="2F00B2E2" w14:textId="77777777" w:rsidR="00612FA2" w:rsidRDefault="00612FA2" w:rsidP="00861393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</w:p>
    <w:p w14:paraId="2BAC24B5" w14:textId="1894D659" w:rsidR="00A81BF0" w:rsidRPr="00861393" w:rsidRDefault="00FB3F54" w:rsidP="00861393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方向（四）</w:t>
      </w:r>
      <w:r w:rsidR="00A81BF0" w:rsidRPr="00861393">
        <w:rPr>
          <w:rFonts w:ascii="宋体" w:eastAsia="宋体" w:hAnsi="宋体"/>
          <w:b/>
          <w:bCs/>
          <w:sz w:val="28"/>
          <w:szCs w:val="28"/>
        </w:rPr>
        <w:t>合成生物学驱动的生物制造与创新药物发现</w:t>
      </w:r>
    </w:p>
    <w:p w14:paraId="060903F8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研究内容</w:t>
      </w:r>
    </w:p>
    <w:p w14:paraId="22E9F283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A81BF0">
        <w:rPr>
          <w:rFonts w:ascii="宋体" w:eastAsia="宋体" w:hAnsi="宋体"/>
          <w:sz w:val="28"/>
          <w:szCs w:val="28"/>
        </w:rPr>
        <w:t>本方向</w:t>
      </w:r>
      <w:proofErr w:type="gramEnd"/>
      <w:r w:rsidRPr="00A81BF0">
        <w:rPr>
          <w:rFonts w:ascii="宋体" w:eastAsia="宋体" w:hAnsi="宋体"/>
          <w:sz w:val="28"/>
          <w:szCs w:val="28"/>
        </w:rPr>
        <w:t>运用合成生物学技术，重点研究：（1）基于放线菌的微生物天然产物高通量筛选与合成生物学产量提升；（2）针对临床多重耐药菌的噬菌体资源库构建、工程化改造及"生物–化学"协同消毒产品研发；（3）工程菌</w:t>
      </w:r>
      <w:proofErr w:type="gramStart"/>
      <w:r w:rsidRPr="00A81BF0">
        <w:rPr>
          <w:rFonts w:ascii="宋体" w:eastAsia="宋体" w:hAnsi="宋体"/>
          <w:sz w:val="28"/>
          <w:szCs w:val="28"/>
        </w:rPr>
        <w:t>介</w:t>
      </w:r>
      <w:proofErr w:type="gramEnd"/>
      <w:r w:rsidRPr="00A81BF0">
        <w:rPr>
          <w:rFonts w:ascii="宋体" w:eastAsia="宋体" w:hAnsi="宋体"/>
          <w:sz w:val="28"/>
          <w:szCs w:val="28"/>
        </w:rPr>
        <w:t>导的肿瘤微环境调控与CAR-T联合治疗体系。</w:t>
      </w:r>
    </w:p>
    <w:p w14:paraId="04094A45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考核指标</w:t>
      </w:r>
    </w:p>
    <w:p w14:paraId="7372FD83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（1）建成针对临床多重耐药菌的高覆盖噬菌体资源库；</w:t>
      </w:r>
    </w:p>
    <w:p w14:paraId="1D7474E1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（2）完成噬菌体的遗传改造；形成特异性噬菌体鸡尾酒制剂，完成实验室规模生产工艺及质量标准关键参数确立，以及初步药效毒理研究；</w:t>
      </w:r>
    </w:p>
    <w:p w14:paraId="17B4955C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（3）利用线虫模型从放线菌中发现活性天然产物，提升苗头天然产物的产量；获得具有抗MRSA或抗MASLD活性的天然产物或其衍生物；</w:t>
      </w:r>
    </w:p>
    <w:p w14:paraId="05D2B80D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（4）筛选高特异性、低渗漏响应元件，搭建代谢调控基因回路与CAR-T改造体系；</w:t>
      </w:r>
    </w:p>
    <w:p w14:paraId="7FEB8517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（5）申请发明专利2-3项，发表高水平研究论文2-3篇。</w:t>
      </w:r>
    </w:p>
    <w:p w14:paraId="53DCDA1F" w14:textId="77777777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6A415801" w14:textId="2D2F7B13" w:rsidR="00A81BF0" w:rsidRPr="00861393" w:rsidRDefault="00FB3F54" w:rsidP="00861393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方向（五）</w:t>
      </w:r>
      <w:r w:rsidR="00A81BF0" w:rsidRPr="00861393">
        <w:rPr>
          <w:rFonts w:ascii="宋体" w:eastAsia="宋体" w:hAnsi="宋体"/>
          <w:b/>
          <w:bCs/>
          <w:sz w:val="28"/>
          <w:szCs w:val="28"/>
        </w:rPr>
        <w:t>生物大数据驱动的精准医疗与生殖/再生医学</w:t>
      </w:r>
    </w:p>
    <w:p w14:paraId="67DA1CFD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研究内容</w:t>
      </w:r>
    </w:p>
    <w:p w14:paraId="35971510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A81BF0">
        <w:rPr>
          <w:rFonts w:ascii="宋体" w:eastAsia="宋体" w:hAnsi="宋体"/>
          <w:sz w:val="28"/>
          <w:szCs w:val="28"/>
        </w:rPr>
        <w:t>本方向</w:t>
      </w:r>
      <w:proofErr w:type="gramEnd"/>
      <w:r w:rsidRPr="00A81BF0">
        <w:rPr>
          <w:rFonts w:ascii="宋体" w:eastAsia="宋体" w:hAnsi="宋体"/>
          <w:sz w:val="28"/>
          <w:szCs w:val="28"/>
        </w:rPr>
        <w:t>以"数据驱动–机制挖掘–精准干预"为范式，覆盖"筛查–诊断–治疗"的精准医疗全链条。重点研究：（1）儿童肥胖的多组学AI精准分型与慢性炎症机制；（2）男性生殖衰老的lncRNA标志物诊断试剂盒与AAV靶向干预；（3）人巨噬细胞体外定向分化、标准化扩增与功能化改造技术。</w:t>
      </w:r>
    </w:p>
    <w:p w14:paraId="000FEA06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考核指标</w:t>
      </w:r>
    </w:p>
    <w:p w14:paraId="7D91882C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（1）稳步推进儿童肥胖前瞻性队列建设，建立多组学驱动的AI精准分型模型；</w:t>
      </w:r>
    </w:p>
    <w:p w14:paraId="5321EF54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（2）筛选生殖</w:t>
      </w:r>
      <w:proofErr w:type="gramStart"/>
      <w:r w:rsidRPr="00A81BF0">
        <w:rPr>
          <w:rFonts w:ascii="宋体" w:eastAsia="宋体" w:hAnsi="宋体"/>
          <w:sz w:val="28"/>
          <w:szCs w:val="28"/>
        </w:rPr>
        <w:t>高靶向</w:t>
      </w:r>
      <w:proofErr w:type="gramEnd"/>
      <w:r w:rsidRPr="00A81BF0">
        <w:rPr>
          <w:rFonts w:ascii="宋体" w:eastAsia="宋体" w:hAnsi="宋体"/>
          <w:sz w:val="28"/>
          <w:szCs w:val="28"/>
        </w:rPr>
        <w:t>AAV血清型，完成lncRNA异构体诊断试剂</w:t>
      </w:r>
      <w:r w:rsidRPr="00A81BF0">
        <w:rPr>
          <w:rFonts w:ascii="宋体" w:eastAsia="宋体" w:hAnsi="宋体"/>
          <w:sz w:val="28"/>
          <w:szCs w:val="28"/>
        </w:rPr>
        <w:lastRenderedPageBreak/>
        <w:t>盒原型开发与核心性能验证；</w:t>
      </w:r>
    </w:p>
    <w:p w14:paraId="57E74DFE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（3）建立人巨噬细胞的高效、标准化体外定向分化与扩增体系，开发安全高效的功能化改造策略；</w:t>
      </w:r>
    </w:p>
    <w:p w14:paraId="5FA7F95D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（4）申请发明专利2-3项，发表高水平研究论文3-4篇。</w:t>
      </w:r>
    </w:p>
    <w:p w14:paraId="3B9F906F" w14:textId="77777777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56A6212B" w14:textId="1000D77A" w:rsidR="00A81BF0" w:rsidRPr="00861393" w:rsidRDefault="00FB3F54" w:rsidP="00861393">
      <w:pPr>
        <w:adjustRightInd w:val="0"/>
        <w:snapToGrid w:val="0"/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方向（六）</w:t>
      </w:r>
      <w:r w:rsidR="00A81BF0" w:rsidRPr="00861393">
        <w:rPr>
          <w:rFonts w:ascii="宋体" w:eastAsia="宋体" w:hAnsi="宋体"/>
          <w:b/>
          <w:bCs/>
          <w:sz w:val="28"/>
          <w:szCs w:val="28"/>
        </w:rPr>
        <w:t>生物医学与前沿科学交叉——新型生物技术平台开发</w:t>
      </w:r>
    </w:p>
    <w:p w14:paraId="3E535F63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研究内容</w:t>
      </w:r>
    </w:p>
    <w:p w14:paraId="1F7F40F8" w14:textId="4909B2FD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A81BF0">
        <w:rPr>
          <w:rFonts w:ascii="宋体" w:eastAsia="宋体" w:hAnsi="宋体"/>
          <w:sz w:val="28"/>
          <w:szCs w:val="28"/>
        </w:rPr>
        <w:t>本方向</w:t>
      </w:r>
      <w:proofErr w:type="gramEnd"/>
      <w:r w:rsidRPr="00A81BF0">
        <w:rPr>
          <w:rFonts w:ascii="宋体" w:eastAsia="宋体" w:hAnsi="宋体"/>
          <w:sz w:val="28"/>
          <w:szCs w:val="28"/>
        </w:rPr>
        <w:t>聚焦底层工具平台开发，重点研究：（1）脂质–多肽复合递送载体及抗体-LNP</w:t>
      </w:r>
      <w:proofErr w:type="gramStart"/>
      <w:r w:rsidRPr="00A81BF0">
        <w:rPr>
          <w:rFonts w:ascii="宋体" w:eastAsia="宋体" w:hAnsi="宋体"/>
          <w:sz w:val="28"/>
          <w:szCs w:val="28"/>
        </w:rPr>
        <w:t>偶</w:t>
      </w:r>
      <w:proofErr w:type="gramEnd"/>
      <w:r w:rsidRPr="00A81BF0">
        <w:rPr>
          <w:rFonts w:ascii="宋体" w:eastAsia="宋体" w:hAnsi="宋体"/>
          <w:sz w:val="28"/>
          <w:szCs w:val="28"/>
        </w:rPr>
        <w:t>联体系；（2）</w:t>
      </w:r>
      <w:proofErr w:type="gramStart"/>
      <w:r w:rsidRPr="00A81BF0">
        <w:rPr>
          <w:rFonts w:ascii="宋体" w:eastAsia="宋体" w:hAnsi="宋体"/>
          <w:sz w:val="28"/>
          <w:szCs w:val="28"/>
        </w:rPr>
        <w:t>全人源抗</w:t>
      </w:r>
      <w:proofErr w:type="gramEnd"/>
      <w:r w:rsidRPr="00A81BF0">
        <w:rPr>
          <w:rFonts w:ascii="宋体" w:eastAsia="宋体" w:hAnsi="宋体"/>
          <w:sz w:val="28"/>
          <w:szCs w:val="28"/>
        </w:rPr>
        <w:t>NKG2A单抗及基于CD226的单/</w:t>
      </w:r>
      <w:proofErr w:type="gramStart"/>
      <w:r w:rsidRPr="00A81BF0">
        <w:rPr>
          <w:rFonts w:ascii="宋体" w:eastAsia="宋体" w:hAnsi="宋体"/>
          <w:sz w:val="28"/>
          <w:szCs w:val="28"/>
        </w:rPr>
        <w:t>双抗药物</w:t>
      </w:r>
      <w:proofErr w:type="gramEnd"/>
      <w:r w:rsidRPr="00A81BF0">
        <w:rPr>
          <w:rFonts w:ascii="宋体" w:eastAsia="宋体" w:hAnsi="宋体"/>
          <w:sz w:val="28"/>
          <w:szCs w:val="28"/>
        </w:rPr>
        <w:t>；（3）血管–骨髓类器官共培养模型与药物筛选平台；（4）MHC-I标签化小鼠模型及广谱T细胞表位高效捕获体系。</w:t>
      </w:r>
      <w:r w:rsidR="00830A30" w:rsidRPr="00830A30">
        <w:rPr>
          <w:rFonts w:ascii="宋体" w:eastAsia="宋体" w:hAnsi="宋体"/>
          <w:sz w:val="28"/>
          <w:szCs w:val="28"/>
        </w:rPr>
        <w:t>上述四个技术平台产出可交叉应用于方向</w:t>
      </w:r>
      <w:proofErr w:type="gramStart"/>
      <w:r w:rsidR="00830A30" w:rsidRPr="00830A30">
        <w:rPr>
          <w:rFonts w:ascii="宋体" w:eastAsia="宋体" w:hAnsi="宋体"/>
          <w:sz w:val="28"/>
          <w:szCs w:val="28"/>
        </w:rPr>
        <w:t>一至方向五</w:t>
      </w:r>
      <w:proofErr w:type="gramEnd"/>
      <w:r w:rsidR="00830A30" w:rsidRPr="00830A30">
        <w:rPr>
          <w:rFonts w:ascii="宋体" w:eastAsia="宋体" w:hAnsi="宋体"/>
          <w:sz w:val="28"/>
          <w:szCs w:val="28"/>
        </w:rPr>
        <w:t>的靶点验证与药效评价，是本</w:t>
      </w:r>
      <w:proofErr w:type="gramStart"/>
      <w:r w:rsidR="00830A30" w:rsidRPr="00830A30">
        <w:rPr>
          <w:rFonts w:ascii="宋体" w:eastAsia="宋体" w:hAnsi="宋体"/>
          <w:sz w:val="28"/>
          <w:szCs w:val="28"/>
        </w:rPr>
        <w:t>研究所述全链条</w:t>
      </w:r>
      <w:proofErr w:type="gramEnd"/>
      <w:r w:rsidR="00830A30" w:rsidRPr="00830A30">
        <w:rPr>
          <w:rFonts w:ascii="宋体" w:eastAsia="宋体" w:hAnsi="宋体"/>
          <w:sz w:val="28"/>
          <w:szCs w:val="28"/>
        </w:rPr>
        <w:t>的底层技术策源地。</w:t>
      </w:r>
    </w:p>
    <w:p w14:paraId="6FEC2210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考核指标</w:t>
      </w:r>
    </w:p>
    <w:p w14:paraId="50E3B3F3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（1）获得T细胞能量代谢调控型脂质分子和兼具T细胞靶向与内体逃逸功能的多肽分子；在肿瘤动物模型中验证体内生成CAR-T的抗肿瘤效果；</w:t>
      </w:r>
    </w:p>
    <w:p w14:paraId="4A7B6019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（2）获得具有应用潜力的免疫细胞靶向候选抗体，建立靶向抗体工程优化与递送评价体系；获得高亲和力</w:t>
      </w:r>
      <w:proofErr w:type="gramStart"/>
      <w:r w:rsidRPr="00A81BF0">
        <w:rPr>
          <w:rFonts w:ascii="宋体" w:eastAsia="宋体" w:hAnsi="宋体"/>
          <w:sz w:val="28"/>
          <w:szCs w:val="28"/>
        </w:rPr>
        <w:t>全人源抗</w:t>
      </w:r>
      <w:proofErr w:type="gramEnd"/>
      <w:r w:rsidRPr="00A81BF0">
        <w:rPr>
          <w:rFonts w:ascii="宋体" w:eastAsia="宋体" w:hAnsi="宋体"/>
          <w:sz w:val="28"/>
          <w:szCs w:val="28"/>
        </w:rPr>
        <w:t>NKG2A候选抗体，完成体内外功能验证；获得临床前阶段的CD226单抗</w:t>
      </w:r>
      <w:proofErr w:type="gramStart"/>
      <w:r w:rsidRPr="00A81BF0">
        <w:rPr>
          <w:rFonts w:ascii="宋体" w:eastAsia="宋体" w:hAnsi="宋体"/>
          <w:sz w:val="28"/>
          <w:szCs w:val="28"/>
        </w:rPr>
        <w:t>或双抗先导</w:t>
      </w:r>
      <w:proofErr w:type="gramEnd"/>
      <w:r w:rsidRPr="00A81BF0">
        <w:rPr>
          <w:rFonts w:ascii="宋体" w:eastAsia="宋体" w:hAnsi="宋体"/>
          <w:sz w:val="28"/>
          <w:szCs w:val="28"/>
        </w:rPr>
        <w:t>药物，并解析其重塑疾病免疫微环境的机制；</w:t>
      </w:r>
    </w:p>
    <w:p w14:paraId="7A226B5B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（3）建立血管–骨髓类器官与B细胞发育耦合模型及药物筛选平台，形成"类器官–免疫评估"诊疗方案（草案）；</w:t>
      </w:r>
    </w:p>
    <w:p w14:paraId="157D7ED1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（4）筛选获得流感或新冠广谱T细胞抗原表位，解析其呈递特征与免疫识别机制；</w:t>
      </w:r>
    </w:p>
    <w:p w14:paraId="0A76DC0A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81BF0">
        <w:rPr>
          <w:rFonts w:ascii="宋体" w:eastAsia="宋体" w:hAnsi="宋体"/>
          <w:sz w:val="28"/>
          <w:szCs w:val="28"/>
        </w:rPr>
        <w:t>（5）申请发明专利4-6项，发表高水平研究论文4-6篇。</w:t>
      </w:r>
    </w:p>
    <w:p w14:paraId="006D3F82" w14:textId="77777777" w:rsid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2158918B" w14:textId="77777777" w:rsidR="00A81BF0" w:rsidRPr="00A81BF0" w:rsidRDefault="00A81BF0" w:rsidP="00A81BF0">
      <w:pPr>
        <w:adjustRightInd w:val="0"/>
        <w:snapToGrid w:val="0"/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2E78A3C3" w14:textId="77777777" w:rsidR="00845FD9" w:rsidRPr="00A81BF0" w:rsidRDefault="00845FD9" w:rsidP="00A81BF0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845FD9" w:rsidRPr="00A8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A74C" w14:textId="77777777" w:rsidR="009D0FBF" w:rsidRDefault="009D0FBF" w:rsidP="001C43F8">
      <w:r>
        <w:separator/>
      </w:r>
    </w:p>
  </w:endnote>
  <w:endnote w:type="continuationSeparator" w:id="0">
    <w:p w14:paraId="2C9BDF2B" w14:textId="77777777" w:rsidR="009D0FBF" w:rsidRDefault="009D0FBF" w:rsidP="001C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D245" w14:textId="77777777" w:rsidR="009D0FBF" w:rsidRDefault="009D0FBF" w:rsidP="001C43F8">
      <w:r>
        <w:separator/>
      </w:r>
    </w:p>
  </w:footnote>
  <w:footnote w:type="continuationSeparator" w:id="0">
    <w:p w14:paraId="07E3BA61" w14:textId="77777777" w:rsidR="009D0FBF" w:rsidRDefault="009D0FBF" w:rsidP="001C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AF8"/>
    <w:multiLevelType w:val="multilevel"/>
    <w:tmpl w:val="DCE0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14B58"/>
    <w:multiLevelType w:val="multilevel"/>
    <w:tmpl w:val="5EE2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38"/>
    <w:rsid w:val="001C43F8"/>
    <w:rsid w:val="002E5F38"/>
    <w:rsid w:val="00422F8E"/>
    <w:rsid w:val="00481C58"/>
    <w:rsid w:val="00612FA2"/>
    <w:rsid w:val="00675932"/>
    <w:rsid w:val="00676907"/>
    <w:rsid w:val="007F2864"/>
    <w:rsid w:val="00830A30"/>
    <w:rsid w:val="00845FD9"/>
    <w:rsid w:val="00861393"/>
    <w:rsid w:val="008667E8"/>
    <w:rsid w:val="00966525"/>
    <w:rsid w:val="009D0FBF"/>
    <w:rsid w:val="00A81BF0"/>
    <w:rsid w:val="00A82CC0"/>
    <w:rsid w:val="00BB59D7"/>
    <w:rsid w:val="00BB6E15"/>
    <w:rsid w:val="00C267AE"/>
    <w:rsid w:val="00CA2A8A"/>
    <w:rsid w:val="00CD4F18"/>
    <w:rsid w:val="00D34390"/>
    <w:rsid w:val="00DA6145"/>
    <w:rsid w:val="00EE6848"/>
    <w:rsid w:val="00F73A0C"/>
    <w:rsid w:val="00FB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B9FCB"/>
  <w15:chartTrackingRefBased/>
  <w15:docId w15:val="{1777CCAB-7121-4C84-90F2-20BAEF6C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C43F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43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C43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3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3F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C43F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C43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1C43F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1C4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C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2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1862673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34835373">
          <w:blockQuote w:val="1"/>
          <w:marLeft w:val="0"/>
          <w:marRight w:val="0"/>
          <w:marTop w:val="240"/>
          <w:marBottom w:val="10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61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NINGMEI</dc:creator>
  <cp:keywords/>
  <dc:description/>
  <cp:lastModifiedBy>liuli205</cp:lastModifiedBy>
  <cp:revision>13</cp:revision>
  <dcterms:created xsi:type="dcterms:W3CDTF">2026-06-18T07:39:00Z</dcterms:created>
  <dcterms:modified xsi:type="dcterms:W3CDTF">2026-07-02T03:32:00Z</dcterms:modified>
</cp:coreProperties>
</file>